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0A" w:rsidRDefault="00CB020A">
      <w:pPr>
        <w:pStyle w:val="ConsPlusTitle"/>
        <w:jc w:val="center"/>
        <w:outlineLvl w:val="0"/>
      </w:pPr>
      <w:bookmarkStart w:id="0" w:name="_GoBack"/>
      <w:bookmarkEnd w:id="0"/>
      <w:r>
        <w:t>Порядок предоставления субсидий на возмещение</w:t>
      </w:r>
    </w:p>
    <w:p w:rsidR="00CB020A" w:rsidRDefault="00CB020A">
      <w:pPr>
        <w:pStyle w:val="ConsPlusTitle"/>
        <w:jc w:val="center"/>
      </w:pPr>
      <w:r>
        <w:t>части прямых понесенных затрат на приобретение и ввод</w:t>
      </w:r>
    </w:p>
    <w:p w:rsidR="00CB020A" w:rsidRDefault="00CB020A">
      <w:pPr>
        <w:pStyle w:val="ConsPlusTitle"/>
        <w:jc w:val="center"/>
      </w:pPr>
      <w:r>
        <w:t>в промышленную эксплуатацию маркировочного оборудования</w:t>
      </w:r>
    </w:p>
    <w:p w:rsidR="00CB020A" w:rsidRDefault="00CB020A">
      <w:pPr>
        <w:pStyle w:val="ConsPlusTitle"/>
        <w:jc w:val="center"/>
      </w:pPr>
      <w:r>
        <w:t>для внедрения обязательной маркировки отдельных видов</w:t>
      </w:r>
    </w:p>
    <w:p w:rsidR="00CB020A" w:rsidRDefault="00CB020A">
      <w:pPr>
        <w:pStyle w:val="ConsPlusTitle"/>
        <w:jc w:val="center"/>
      </w:pPr>
      <w:r>
        <w:t>молочной продукции</w:t>
      </w:r>
    </w:p>
    <w:p w:rsidR="00CB020A" w:rsidRDefault="00CB020A">
      <w:pPr>
        <w:pStyle w:val="ConsPlusNormal"/>
      </w:pPr>
    </w:p>
    <w:p w:rsidR="00CB020A" w:rsidRDefault="00CB020A">
      <w:pPr>
        <w:pStyle w:val="ConsPlusNormal"/>
        <w:ind w:firstLine="540"/>
        <w:jc w:val="both"/>
      </w:pPr>
      <w:r>
        <w:t xml:space="preserve">7. Субсидии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(далее в настоящем пункте и </w:t>
      </w:r>
      <w:hyperlink w:anchor="P14">
        <w:r>
          <w:rPr>
            <w:color w:val="0000FF"/>
          </w:rPr>
          <w:t>пунктах 7.1</w:t>
        </w:r>
      </w:hyperlink>
      <w:r>
        <w:t xml:space="preserve"> и </w:t>
      </w:r>
      <w:hyperlink w:anchor="P31">
        <w:r>
          <w:rPr>
            <w:color w:val="0000FF"/>
          </w:rPr>
          <w:t>7.2</w:t>
        </w:r>
      </w:hyperlink>
      <w:r>
        <w:t xml:space="preserve"> настоящего Порядка - субсидии) предоставляются сельскохозяйственные товаропроизводители, за исключением граждан, ведущих личное подсобное хозяйство, и российские организации, в том числе организации, осуществляющие производство и (или) первичную и (или) последующую (промышленную) переработку сельскохозяйственной продукции и ее реализацию, организации, осуществляющие производство и (или) первичную и (или) последующую переработку молока сырого крупного рогатого скота, козьего и овечьего на молочную продукцию и выпуск ее в оборот (далее - получатели субсидий), на компенсацию стоимости приобретенного маркировочного оборудования по </w:t>
      </w:r>
      <w:hyperlink r:id="rId4">
        <w:r>
          <w:rPr>
            <w:color w:val="0000FF"/>
          </w:rPr>
          <w:t>перечню</w:t>
        </w:r>
      </w:hyperlink>
      <w:r>
        <w:t xml:space="preserve"> согласно приложению 11 к настоящему Порядку в размере 70 процентов фактической стоимости маркировочного оборудования, но не выше предельной стоимости маркировочного оборудования, установленной </w:t>
      </w:r>
      <w:hyperlink r:id="rId5">
        <w:r>
          <w:rPr>
            <w:color w:val="0000FF"/>
          </w:rPr>
          <w:t>приказом</w:t>
        </w:r>
      </w:hyperlink>
      <w:r>
        <w:t xml:space="preserve"> Минсельхоза России от 18 июля 2023 г. N 625 исходя из мощности линии фасовочного оборудования и (или) линии основного производства, дооборудование которых осуществляется приобретенным маркировочным оборудованием, в следующих размерах (без учета налога на добавленную стоимость):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до 7 тыс. выпускаемых упаковок готовой молочной продукции в час (включительно) - 4 000,0 тысяч рублей на 1 производственную линию;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от 7 до 25 тыс. выпускаемых упаковок готовой молочной продукции в час (включительно) - 6 000,0 тысяч рублей на 1 производственную линию;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от 25 тыс. выпускаемых упаковок готовой молочной продукции в час и более - 11 000,0 тысяч рублей на 1 производственную линию.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Условиями предоставления субсидий являются: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1" w:name="P11"/>
      <w:bookmarkEnd w:id="1"/>
      <w:r>
        <w:t>1) осуществление затрат на приобретение маркировочного оборудования в 2021 - 2023 годах и введение его в эксплуатацию не позднее дня представления Республикой Коми заявки на маркировочное оборудование на очередной финансовый год. Подтверждением факта ввода в эксплуатацию маркировочного оборудования является наличие документов, подтверждающих приобретение маркировочного оборудования, и акта ввода его в эксплуатацию;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2" w:name="P12"/>
      <w:bookmarkEnd w:id="2"/>
      <w:r>
        <w:t xml:space="preserve">2) маркировочное оборудование обеспечивает нанесение и считывание средств идентификации для целей обязательной маркировки отдельных видов молочной продукции (за исключением мороженого) в соответствии с перечнем, утверждаемым Правительством Российской Федерации в соответствии с </w:t>
      </w:r>
      <w:hyperlink r:id="rId6">
        <w:r>
          <w:rPr>
            <w:color w:val="0000FF"/>
          </w:rPr>
          <w:t>пунктом 3.1 части 1 статьи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в организациях, которые производят и осуществляют выпуск в оборот молочной продукции;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 xml:space="preserve">3) признание заявки на маркировочное оборудование, представленное получателем субсидий, победителем Отбора заявок на маркировочное оборудование, осуществляемого Минсельхозом России в порядке, установленном </w:t>
      </w:r>
      <w:hyperlink r:id="rId7">
        <w:r>
          <w:rPr>
            <w:color w:val="0000FF"/>
          </w:rPr>
          <w:t>приказом</w:t>
        </w:r>
      </w:hyperlink>
      <w:r>
        <w:t xml:space="preserve"> Минсельхоза России от 23 июня 2023 г. N 587 "Об утверждении Порядка конкурсного отбора инвестиционных проектов, представленных получателями средств на возмещение части прямых понесенных затрат по реализуемым объектам, а также заявок на возмещение затрат на маркировочное оборудование, представленных получателями средств на возмещение части затрат на маркировочное оборудование" (далее соответственно - заявки, федеральный отбор, приказ Минсельхоза России N 587), и выделение на цели предоставления субсидий средств федерального бюджета на соответствующий финансовый год в соответствии с заключенным между Минсельхозом России и Правительством Республики </w:t>
      </w:r>
      <w:r>
        <w:lastRenderedPageBreak/>
        <w:t>Коми Соглашением о предоставлении субсидий из федерального бюджета.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3" w:name="P14"/>
      <w:bookmarkEnd w:id="3"/>
      <w:r>
        <w:t>7.1. Для участия в федеральном отборе: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1) Министерство в срок, не превышающий 3 рабочих дней со дня получения уведомления Минсельхоза России о проведении федерального отбора, размещает на сайте Министерства объявление о сборе заявок для участия в федеральном отборе (далее - сбор заявок) с указанием перечня документов, необходимых для участия в федеральном отборе, включая форму заявки, и сроков их приема;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2) получатели субсидий представляют в Министерство заявки по форме и документы по перечню и в сроки, указанные в объявлении о сборе заявок;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4" w:name="P17"/>
      <w:bookmarkEnd w:id="4"/>
      <w:r>
        <w:t>3) Государственное учреждение: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в срок, не превышающий 7 рабочих дней со дня получения заявок и документов от получателей субсидий: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рассматривает заявки и документы, представленные получателями субсидий, на предмет наличия оснований для отказа в принятии к рассмотрению заявок, установленных настоящим подпунктом;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при наличии оснований для отказа в принятии к рассмотрению заявок, установленных настоящим подпунктом, готовит и направляет получателю субсидий уведомление об отказе в принятии заявок для участия в федеральном отборе с указанием оснований для отказа по электронной почте, указанной в заявке;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при отсутствии оснований для отказа в принятии к рассмотрению заявок, установленных настоящим подпунктом, формирует перечень заявок, соответствующих требованиям для участия в федеральном отборе (далее - Перечень) и направляет Перечень с приложением заявок, включенных в Перечень, и документов в отношении данных заявок в Министерство.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Основаниями для отказа в принятии к рассмотрению заявок для участия в федеральном отборе являются: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5" w:name="P23"/>
      <w:bookmarkEnd w:id="5"/>
      <w:r>
        <w:t>а) непредставление (представление не в полном объеме) получателем субсидий документов, указанных в объявлении о сборе заявок для участия в федеральном отборе;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6" w:name="P24"/>
      <w:bookmarkEnd w:id="6"/>
      <w:r>
        <w:t>б) представление документов, имеющих исправления, повреждения, помарки, препятствующие их прочтению;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 xml:space="preserve">в) несоответствие заявок и документов условиям предоставления субсидий, установленным </w:t>
      </w:r>
      <w:hyperlink w:anchor="P11">
        <w:r>
          <w:rPr>
            <w:color w:val="0000FF"/>
          </w:rPr>
          <w:t>подпунктами 1</w:t>
        </w:r>
      </w:hyperlink>
      <w:r>
        <w:t xml:space="preserve"> и </w:t>
      </w:r>
      <w:hyperlink w:anchor="P12">
        <w:r>
          <w:rPr>
            <w:color w:val="0000FF"/>
          </w:rPr>
          <w:t>2 пункта 7</w:t>
        </w:r>
      </w:hyperlink>
      <w:r>
        <w:t xml:space="preserve"> настоящего Порядка;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г) истечение срока представления документов, указанного в объявлении о сборе заявок для участия в федеральном отборе;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 xml:space="preserve">4) получатель субсидий, в отношении которого вынесено решение об отказе в принятии к рассмотрению заявок в соответствии с </w:t>
      </w:r>
      <w:hyperlink w:anchor="P23">
        <w:r>
          <w:rPr>
            <w:color w:val="0000FF"/>
          </w:rPr>
          <w:t>подпунктами "а"</w:t>
        </w:r>
      </w:hyperlink>
      <w:r>
        <w:t xml:space="preserve"> и </w:t>
      </w:r>
      <w:hyperlink w:anchor="P24">
        <w:r>
          <w:rPr>
            <w:color w:val="0000FF"/>
          </w:rPr>
          <w:t>"б" подпункта 3</w:t>
        </w:r>
      </w:hyperlink>
      <w:r>
        <w:t xml:space="preserve"> настоящего пункта, вправе обратиться для участия в сборе заявок повторно после устранения выявленных недостатков в срок, не превышающий двух рабочих дней со дня получения уведомления в соответствии с </w:t>
      </w:r>
      <w:hyperlink w:anchor="P17">
        <w:r>
          <w:rPr>
            <w:color w:val="0000FF"/>
          </w:rPr>
          <w:t>подпунктом 3</w:t>
        </w:r>
      </w:hyperlink>
      <w:r>
        <w:t xml:space="preserve"> настоящего пункта;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5) Министерство: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 xml:space="preserve">а) в срок, установленный Минсельхозом России для проведения федерального отбора, формирует пакет документов по перечню, установленному </w:t>
      </w:r>
      <w:hyperlink r:id="rId8">
        <w:r>
          <w:rPr>
            <w:color w:val="0000FF"/>
          </w:rPr>
          <w:t>приказом</w:t>
        </w:r>
      </w:hyperlink>
      <w:r>
        <w:t xml:space="preserve"> Минсельхоза России N 587 для участия в федеральном отборе, и направляет его в Минсельхоз России для участия в </w:t>
      </w:r>
      <w:r>
        <w:lastRenderedPageBreak/>
        <w:t>федеральном отборе;</w:t>
      </w:r>
    </w:p>
    <w:p w:rsidR="00CB020A" w:rsidRDefault="00CB020A">
      <w:pPr>
        <w:pStyle w:val="ConsPlusNormal"/>
        <w:spacing w:before="220"/>
        <w:ind w:firstLine="540"/>
        <w:jc w:val="both"/>
      </w:pPr>
      <w:r>
        <w:t>б) в срок, не превышающий 5 рабочих дней со дня опубликования протокола по итогам федерального отбора, подготовленного и размещенного Минсельхозом России на его официальном сайте в информационно-телекоммуникационной сети "Интернет", направляет получателю субсидий уведомление с результатами федерального отбора по электронной почте, указанной в заявке.</w:t>
      </w:r>
    </w:p>
    <w:p w:rsidR="00CB020A" w:rsidRDefault="00CB020A">
      <w:pPr>
        <w:pStyle w:val="ConsPlusNormal"/>
        <w:spacing w:before="220"/>
        <w:ind w:firstLine="540"/>
        <w:jc w:val="both"/>
      </w:pPr>
      <w:bookmarkStart w:id="7" w:name="P31"/>
      <w:bookmarkEnd w:id="7"/>
      <w:r>
        <w:t xml:space="preserve">7.2. Для получения субсидий получатели субсидий формируют в ГИС АПК РК заявление о предоставлении субсидий, рассмотрение которого осуществляется в порядке, установленном </w:t>
      </w:r>
      <w:hyperlink r:id="rId9">
        <w:r>
          <w:rPr>
            <w:color w:val="0000FF"/>
          </w:rPr>
          <w:t>приложением 1</w:t>
        </w:r>
      </w:hyperlink>
      <w:r>
        <w:t xml:space="preserve"> к Общим требованиям.</w:t>
      </w:r>
    </w:p>
    <w:p w:rsidR="00CB020A" w:rsidRDefault="00CB020A">
      <w:pPr>
        <w:pStyle w:val="ConsPlusNormal"/>
      </w:pPr>
    </w:p>
    <w:p w:rsidR="00CB020A" w:rsidRDefault="00CB020A">
      <w:pPr>
        <w:pStyle w:val="ConsPlusNormal"/>
      </w:pPr>
    </w:p>
    <w:p w:rsidR="00CB020A" w:rsidRDefault="00CB020A">
      <w:pPr>
        <w:pStyle w:val="ConsPlusNormal"/>
      </w:pPr>
      <w:r>
        <w:br/>
      </w:r>
    </w:p>
    <w:p w:rsidR="005F475F" w:rsidRDefault="005F475F"/>
    <w:sectPr w:rsidR="005F475F" w:rsidSect="00CB02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A"/>
    <w:rsid w:val="005F475F"/>
    <w:rsid w:val="00CB020A"/>
    <w:rsid w:val="00C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7354-1D43-419C-90E9-98D685E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02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9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9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35&amp;dst=1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664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96&amp;n=235789&amp;dst=169411" TargetMode="External"/><Relationship Id="rId9" Type="http://schemas.openxmlformats.org/officeDocument/2006/relationships/hyperlink" Target="https://login.consultant.ru/link/?req=doc&amp;base=RLAW096&amp;n=235789&amp;dst=166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Вероника Александровна</dc:creator>
  <cp:keywords/>
  <dc:description/>
  <cp:lastModifiedBy>Савчук Вероника Александровна</cp:lastModifiedBy>
  <cp:revision>1</cp:revision>
  <cp:lastPrinted>2024-08-28T08:35:00Z</cp:lastPrinted>
  <dcterms:created xsi:type="dcterms:W3CDTF">2024-08-28T08:34:00Z</dcterms:created>
  <dcterms:modified xsi:type="dcterms:W3CDTF">2024-08-28T09:24:00Z</dcterms:modified>
</cp:coreProperties>
</file>