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85E9" w14:textId="7208CA92" w:rsidR="00DC539F" w:rsidRDefault="00DC539F" w:rsidP="004C7D48">
      <w:pPr>
        <w:spacing w:after="120"/>
        <w:ind w:left="3544" w:right="-14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13</w:t>
      </w:r>
    </w:p>
    <w:p w14:paraId="4E8FE887" w14:textId="77777777" w:rsidR="00DC539F" w:rsidRPr="00B622D9" w:rsidRDefault="00DC539F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2561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</w:t>
      </w:r>
    </w:p>
    <w:p w14:paraId="01D85552" w14:textId="77777777" w:rsidR="00DC539F" w:rsidRDefault="00DC539F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субсидии субъектам</w:t>
      </w:r>
    </w:p>
    <w:p w14:paraId="634DDFD6" w14:textId="77777777" w:rsidR="00DC539F" w:rsidRDefault="00DC539F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предпринимательства,</w:t>
      </w:r>
    </w:p>
    <w:p w14:paraId="3D9105A9" w14:textId="77777777" w:rsidR="00DC539F" w:rsidRDefault="00DC539F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 администрации</w:t>
      </w:r>
    </w:p>
    <w:p w14:paraId="7F930AF8" w14:textId="77777777" w:rsidR="00DC539F" w:rsidRDefault="00DC539F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0C40D1A" w14:textId="77777777" w:rsidR="004B18DB" w:rsidRDefault="00DC539F" w:rsidP="00DC539F">
      <w:pPr>
        <w:ind w:left="3544" w:right="-14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Ногликский</w:t>
      </w:r>
      <w:proofErr w:type="spellEnd"/>
      <w:r w:rsidR="004B18DB">
        <w:rPr>
          <w:sz w:val="28"/>
          <w:szCs w:val="28"/>
        </w:rPr>
        <w:t xml:space="preserve"> муниципальный округ </w:t>
      </w:r>
    </w:p>
    <w:p w14:paraId="4718BF7C" w14:textId="5A2BE383" w:rsidR="00DC539F" w:rsidRDefault="004B18DB" w:rsidP="00DC539F">
      <w:pPr>
        <w:ind w:left="3544" w:right="-144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CE97485" w14:textId="49D78348" w:rsidR="00782DCA" w:rsidRPr="00A62E76" w:rsidRDefault="00C60EB2" w:rsidP="00DC539F">
      <w:pPr>
        <w:ind w:left="3544" w:right="-4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055A7D">
        <w:rPr>
          <w:sz w:val="28"/>
          <w:szCs w:val="28"/>
        </w:rPr>
        <w:t>т</w:t>
      </w:r>
      <w:r>
        <w:rPr>
          <w:sz w:val="28"/>
          <w:szCs w:val="28"/>
        </w:rPr>
        <w:t xml:space="preserve"> 17 февраля 2025 года</w:t>
      </w:r>
      <w:r w:rsidR="00055A7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</w:t>
      </w:r>
    </w:p>
    <w:p w14:paraId="1AE52A56" w14:textId="632992C9" w:rsidR="00744AAD" w:rsidRDefault="00744AAD" w:rsidP="00864CB0">
      <w:pPr>
        <w:ind w:left="1134" w:right="1134"/>
        <w:jc w:val="center"/>
        <w:rPr>
          <w:bCs/>
          <w:sz w:val="28"/>
          <w:szCs w:val="28"/>
        </w:rPr>
      </w:pPr>
    </w:p>
    <w:p w14:paraId="56E67BD6" w14:textId="77777777" w:rsidR="00744AAD" w:rsidRPr="00134EA8" w:rsidRDefault="00744AAD" w:rsidP="00864CB0">
      <w:pPr>
        <w:ind w:left="1134" w:right="1134"/>
        <w:jc w:val="center"/>
        <w:rPr>
          <w:bCs/>
          <w:sz w:val="28"/>
          <w:szCs w:val="28"/>
        </w:rPr>
      </w:pPr>
    </w:p>
    <w:p w14:paraId="5600BA85" w14:textId="7E64FD89" w:rsidR="00782DCA" w:rsidRPr="00782DCA" w:rsidRDefault="00BA4301" w:rsidP="00BA430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ВОЗМЕЩЕНИЕ ЗАТРАТ НА УЧАСТИЕ</w:t>
      </w:r>
    </w:p>
    <w:p w14:paraId="093C74B2" w14:textId="6227BD1E" w:rsidR="00782DCA" w:rsidRPr="00782DCA" w:rsidRDefault="00782DCA" w:rsidP="00BA4301">
      <w:pPr>
        <w:jc w:val="center"/>
        <w:rPr>
          <w:sz w:val="28"/>
          <w:szCs w:val="28"/>
        </w:rPr>
      </w:pPr>
      <w:r w:rsidRPr="00782DCA">
        <w:rPr>
          <w:sz w:val="28"/>
          <w:szCs w:val="28"/>
        </w:rPr>
        <w:t>В ВЫС</w:t>
      </w:r>
      <w:r w:rsidR="00BA4301">
        <w:rPr>
          <w:sz w:val="28"/>
          <w:szCs w:val="28"/>
        </w:rPr>
        <w:t>ТАВОЧНО-ЯРМАРОЧНЫХ МЕРОПРИЯТИЯХ</w:t>
      </w:r>
    </w:p>
    <w:p w14:paraId="6F557574" w14:textId="77777777" w:rsidR="00782DCA" w:rsidRPr="00782DCA" w:rsidRDefault="00782DCA" w:rsidP="00782DCA">
      <w:pPr>
        <w:ind w:firstLine="561"/>
        <w:jc w:val="center"/>
        <w:rPr>
          <w:sz w:val="28"/>
          <w:szCs w:val="28"/>
        </w:rPr>
      </w:pPr>
    </w:p>
    <w:p w14:paraId="3C87C419" w14:textId="123EDBED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1. Субсидия предоставляется на возмещение расходов, связанных с участием в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-ярмарочных мероприят</w:t>
      </w:r>
      <w:r w:rsidR="007169E4">
        <w:rPr>
          <w:sz w:val="28"/>
          <w:szCs w:val="28"/>
        </w:rPr>
        <w:t>иях, по следующим направлениям:</w:t>
      </w:r>
    </w:p>
    <w:p w14:paraId="3F7ACEB8" w14:textId="77777777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- на оплату регистрационного взноса за участие в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-ярмарочном мероприятии;</w:t>
      </w:r>
    </w:p>
    <w:p w14:paraId="6559484D" w14:textId="77777777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на аренду занимаемых демонстрационно-выставочных площадей и (или) демонстрационного оборудования;</w:t>
      </w:r>
    </w:p>
    <w:p w14:paraId="2D379B8C" w14:textId="77777777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- на транспортировку выставочных образцов до места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-ярмарочных мероприятий и обратно;</w:t>
      </w:r>
    </w:p>
    <w:p w14:paraId="49572113" w14:textId="28A6859B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- на проезд к месту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 xml:space="preserve">-ярмарочных мероприятий и обратно не более двух сотрудников, состоящих в штате </w:t>
      </w:r>
      <w:r w:rsidR="00353E6C">
        <w:rPr>
          <w:sz w:val="28"/>
          <w:szCs w:val="28"/>
        </w:rPr>
        <w:t>участника отбора</w:t>
      </w:r>
      <w:r w:rsidRPr="00782DCA">
        <w:rPr>
          <w:sz w:val="28"/>
          <w:szCs w:val="28"/>
        </w:rPr>
        <w:t>, в размере не более 20,0 тысяч рублей на каждого сотрудника;</w:t>
      </w:r>
    </w:p>
    <w:p w14:paraId="2E9CC03A" w14:textId="25CC4EAD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- на проживание в гостинице на период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 xml:space="preserve">-ярмарочных мероприятий не более двух </w:t>
      </w:r>
      <w:r w:rsidR="00353E6C">
        <w:rPr>
          <w:sz w:val="28"/>
          <w:szCs w:val="28"/>
        </w:rPr>
        <w:t>сотрудников, состоящих в штате участника отбора</w:t>
      </w:r>
      <w:r w:rsidRPr="00782DCA">
        <w:rPr>
          <w:sz w:val="28"/>
          <w:szCs w:val="28"/>
        </w:rPr>
        <w:t>, в размере 80% стоимости проживания, но не более 15,0 тысяч рублей на каждого сотрудника.</w:t>
      </w:r>
    </w:p>
    <w:p w14:paraId="4E87413E" w14:textId="22C3A8C4" w:rsidR="00782DCA" w:rsidRPr="00782DCA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Право на возмещение части затрат на транспортировку выставочных образцов, проезд и проживание сотрудников возникает в случае предоставления </w:t>
      </w:r>
      <w:r w:rsidR="00353E6C">
        <w:rPr>
          <w:sz w:val="28"/>
          <w:szCs w:val="28"/>
        </w:rPr>
        <w:t>участником отбора</w:t>
      </w:r>
      <w:r w:rsidRPr="00782DCA">
        <w:rPr>
          <w:sz w:val="28"/>
          <w:szCs w:val="28"/>
        </w:rPr>
        <w:t xml:space="preserve"> документов, подтверждающих участие в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-ярмарочных мероприятиях в соответствии с требованиями Порядка.</w:t>
      </w:r>
    </w:p>
    <w:p w14:paraId="35DECF00" w14:textId="5BB7751C" w:rsidR="00782DCA" w:rsidRPr="001B3C5E" w:rsidRDefault="00782DCA" w:rsidP="0078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Право на возмещение части затрат на проезд к месту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 xml:space="preserve">-ярмарочных мероприятий и обратно возникает у </w:t>
      </w:r>
      <w:r w:rsidR="00353E6C">
        <w:rPr>
          <w:sz w:val="28"/>
          <w:szCs w:val="28"/>
        </w:rPr>
        <w:t>участника отбора</w:t>
      </w:r>
      <w:r w:rsidRPr="00782DCA">
        <w:rPr>
          <w:sz w:val="28"/>
          <w:szCs w:val="28"/>
        </w:rPr>
        <w:t xml:space="preserve"> в случае если проезд осуществлен посредством </w:t>
      </w:r>
      <w:r w:rsidRPr="001B3C5E">
        <w:rPr>
          <w:sz w:val="28"/>
          <w:szCs w:val="28"/>
        </w:rPr>
        <w:t>воздушного, железнодорожного, водного транспорта и (или) автомобильного транспорта (за исключением такси).</w:t>
      </w:r>
    </w:p>
    <w:p w14:paraId="278CF49C" w14:textId="141DA5CD" w:rsidR="00E70AF6" w:rsidRDefault="00782DCA" w:rsidP="00E70AF6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2. К возмещению принимаются документально подтвержденные затраты, произведенные </w:t>
      </w:r>
      <w:r w:rsidR="00353E6C">
        <w:rPr>
          <w:sz w:val="28"/>
          <w:szCs w:val="28"/>
        </w:rPr>
        <w:t>участником отбора</w:t>
      </w:r>
      <w:r w:rsidRPr="00782DCA">
        <w:rPr>
          <w:sz w:val="28"/>
          <w:szCs w:val="28"/>
        </w:rPr>
        <w:t xml:space="preserve"> в </w:t>
      </w:r>
      <w:r w:rsidR="00E70AF6" w:rsidRPr="005F3698">
        <w:rPr>
          <w:sz w:val="28"/>
          <w:szCs w:val="28"/>
        </w:rPr>
        <w:t>текущем финансовом году и в г</w:t>
      </w:r>
      <w:r w:rsidR="00E70AF6">
        <w:rPr>
          <w:sz w:val="28"/>
          <w:szCs w:val="28"/>
        </w:rPr>
        <w:t>оду, предшествующему текущему.</w:t>
      </w:r>
    </w:p>
    <w:p w14:paraId="5AE8672E" w14:textId="77777777" w:rsidR="00E70AF6" w:rsidRPr="005F3698" w:rsidRDefault="00E70AF6" w:rsidP="00E70AF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F3698">
        <w:rPr>
          <w:sz w:val="28"/>
          <w:szCs w:val="28"/>
        </w:rPr>
        <w:lastRenderedPageBreak/>
        <w:t xml:space="preserve">Субсидированию не подлежат затраты, произведенные </w:t>
      </w:r>
      <w:r>
        <w:rPr>
          <w:sz w:val="28"/>
          <w:szCs w:val="28"/>
        </w:rPr>
        <w:t>участником отбора</w:t>
      </w:r>
      <w:r w:rsidRPr="005F3698">
        <w:rPr>
          <w:sz w:val="28"/>
          <w:szCs w:val="28"/>
        </w:rPr>
        <w:t xml:space="preserve"> в течение во</w:t>
      </w:r>
      <w:r>
        <w:rPr>
          <w:sz w:val="28"/>
          <w:szCs w:val="28"/>
        </w:rPr>
        <w:t>змещаемого периода, по которым участник отбора</w:t>
      </w:r>
      <w:r w:rsidRPr="005F3698">
        <w:rPr>
          <w:sz w:val="28"/>
          <w:szCs w:val="28"/>
        </w:rPr>
        <w:t xml:space="preserve"> получил субсидию из средств бюджетной системы Российской Федерации</w:t>
      </w:r>
      <w:r>
        <w:rPr>
          <w:sz w:val="28"/>
          <w:szCs w:val="28"/>
        </w:rPr>
        <w:t>.</w:t>
      </w:r>
    </w:p>
    <w:p w14:paraId="11EE4FFF" w14:textId="2FDC59FE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3. Размер субсидии составляет 80% от фактически произведенных и документально подтвержденных затрат </w:t>
      </w:r>
      <w:r w:rsidR="00353E6C">
        <w:rPr>
          <w:sz w:val="28"/>
          <w:szCs w:val="28"/>
        </w:rPr>
        <w:t xml:space="preserve">участника отбора </w:t>
      </w:r>
      <w:r w:rsidRPr="00782DCA">
        <w:rPr>
          <w:sz w:val="28"/>
          <w:szCs w:val="28"/>
        </w:rPr>
        <w:t xml:space="preserve">без учета НДС, но не более 300,0 тысяч рублей одному </w:t>
      </w:r>
      <w:r w:rsidR="00E70AF6">
        <w:rPr>
          <w:sz w:val="28"/>
          <w:szCs w:val="28"/>
        </w:rPr>
        <w:t>участнику отбора</w:t>
      </w:r>
      <w:r w:rsidRPr="00782DCA">
        <w:rPr>
          <w:sz w:val="28"/>
          <w:szCs w:val="28"/>
        </w:rPr>
        <w:t xml:space="preserve"> в течение текущего финансового года.</w:t>
      </w:r>
    </w:p>
    <w:p w14:paraId="7E7FAF51" w14:textId="77777777" w:rsidR="00782DCA" w:rsidRPr="00782DCA" w:rsidRDefault="00782DCA" w:rsidP="009E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4. Расчет размера субсидии осуществляется по формуле:</w:t>
      </w:r>
    </w:p>
    <w:p w14:paraId="0375B3C9" w14:textId="77777777" w:rsidR="00782DCA" w:rsidRPr="00782DCA" w:rsidRDefault="00782DCA" w:rsidP="009E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9D798F9" wp14:editId="1F14667F">
                <wp:extent cx="1604645" cy="694055"/>
                <wp:effectExtent l="0" t="0" r="0" b="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720" y="377825"/>
                            <a:ext cx="807720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9960" y="82550"/>
                            <a:ext cx="5403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FA721" w14:textId="77777777" w:rsidR="00782DCA" w:rsidRDefault="00782DCA" w:rsidP="00782DC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 * 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210" y="241300"/>
                            <a:ext cx="5657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B1C93" w14:textId="77777777" w:rsidR="00782DCA" w:rsidRDefault="00782DCA" w:rsidP="00782DC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С(в) 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5670" y="408305"/>
                            <a:ext cx="3244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9115F" w14:textId="77777777" w:rsidR="00782DCA" w:rsidRDefault="00782DCA" w:rsidP="00782DC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2785" y="0"/>
                            <a:ext cx="2266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995D9" w14:textId="77777777" w:rsidR="00782DCA" w:rsidRDefault="00782DCA" w:rsidP="00782DC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D798F9" id="Полотно 7" o:spid="_x0000_s1026" editas="canvas" style="width:126.35pt;height:54.65pt;mso-position-horizontal-relative:char;mso-position-vertical-relative:line" coordsize="16046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46;height:6940;visibility:visible;mso-wrap-style:square">
                  <v:fill o:detectmouseclick="t"/>
                  <v:path o:connecttype="none"/>
                </v:shape>
                <v:line id="Line 6" o:spid="_x0000_s1028" style="position:absolute;visibility:visible;mso-wrap-style:square" from="6807,3778" to="14884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MJSsEAAADaAAAADwAAAGRycy9kb3ducmV2LnhtbESPQYvCMBSE74L/ITzBm6Z6KFKNIguC&#10;IIpbRTw+mmdbtnmpTaz1328EweMwM98wi1VnKtFS40rLCibjCARxZnXJuYLzaTOagXAeWWNlmRS8&#10;yMFq2e8tMNH2yb/Upj4XAcIuQQWF93UipcsKMujGtiYO3s02Bn2QTS51g88AN5WcRlEsDZYcFgqs&#10;6aeg7C99GAWxye/R8bq/tIddvY3Xrpqlr4lSw0G3noPw1Plv+NPeagVTeF8JN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wlKwQAAANoAAAAPAAAAAAAAAAAAAAAA&#10;AKECAABkcnMvZG93bnJldi54bWxQSwUGAAAAAAQABAD5AAAAjwMAAAAA&#10;" strokeweight=".85pt"/>
                <v:rect id="Rectangle 7" o:spid="_x0000_s1029" style="position:absolute;left:9499;top:825;width:5404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14:paraId="48AFA721" w14:textId="77777777" w:rsidR="00782DCA" w:rsidRDefault="00782DCA" w:rsidP="00782DC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 * 80</w:t>
                        </w:r>
                      </w:p>
                    </w:txbxContent>
                  </v:textbox>
                </v:rect>
                <v:rect id="Rectangle 8" o:spid="_x0000_s1030" style="position:absolute;left:292;top:2413;width:5657;height:24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14:paraId="6D4B1C93" w14:textId="77777777" w:rsidR="00782DCA" w:rsidRDefault="00782DCA" w:rsidP="00782DC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С(в) = </w:t>
                        </w:r>
                      </w:p>
                    </w:txbxContent>
                  </v:textbox>
                </v:rect>
                <v:rect id="Rectangle 9" o:spid="_x0000_s1031" style="position:absolute;left:9156;top:4083;width:3245;height:24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14:paraId="4EE9115F" w14:textId="77777777" w:rsidR="00782DCA" w:rsidRDefault="00782DCA" w:rsidP="00782DC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0" o:spid="_x0000_s1032" style="position:absolute;left:6927;width:2267;height:3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14:paraId="301995D9" w14:textId="77777777" w:rsidR="00782DCA" w:rsidRDefault="00782DCA" w:rsidP="00782DCA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7ED526" w14:textId="77777777" w:rsidR="00782DCA" w:rsidRPr="00782DCA" w:rsidRDefault="00782DCA" w:rsidP="009E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С(в) - размер субсидии в целях возмещения части произведенных и документально подтвержденных затрат Заявителя, С(в) ≤ 300,0 тысяч рублей;</w:t>
      </w:r>
    </w:p>
    <w:p w14:paraId="7DC3F64E" w14:textId="0446C3F5" w:rsidR="00782DCA" w:rsidRPr="00782DCA" w:rsidRDefault="00782DCA" w:rsidP="009E3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CA">
        <w:rPr>
          <w:noProof/>
          <w:position w:val="-12"/>
          <w:sz w:val="28"/>
          <w:szCs w:val="28"/>
        </w:rPr>
        <w:drawing>
          <wp:inline distT="0" distB="0" distL="0" distR="0" wp14:anchorId="6CACC809" wp14:editId="3B83006C">
            <wp:extent cx="3619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CA">
        <w:rPr>
          <w:sz w:val="28"/>
          <w:szCs w:val="28"/>
        </w:rPr>
        <w:t xml:space="preserve"> - сумма произведенных и документально подтвержденных затрат </w:t>
      </w:r>
      <w:r w:rsidR="00E70AF6">
        <w:rPr>
          <w:sz w:val="28"/>
          <w:szCs w:val="28"/>
        </w:rPr>
        <w:t>участника отбора</w:t>
      </w:r>
      <w:r w:rsidRPr="00782DCA">
        <w:rPr>
          <w:sz w:val="28"/>
          <w:szCs w:val="28"/>
        </w:rPr>
        <w:t xml:space="preserve"> без учета НДС.</w:t>
      </w:r>
    </w:p>
    <w:p w14:paraId="61CD16EE" w14:textId="168A308F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5. Для участия в конкурсном отборе помимо документов, указанных в пункте 2.</w:t>
      </w:r>
      <w:r w:rsidR="00E70AF6">
        <w:rPr>
          <w:sz w:val="28"/>
          <w:szCs w:val="28"/>
        </w:rPr>
        <w:t>8</w:t>
      </w:r>
      <w:r w:rsidRPr="00782DCA">
        <w:rPr>
          <w:sz w:val="28"/>
          <w:szCs w:val="28"/>
        </w:rPr>
        <w:t>.</w:t>
      </w:r>
      <w:r w:rsidR="00E70AF6">
        <w:rPr>
          <w:sz w:val="28"/>
          <w:szCs w:val="28"/>
        </w:rPr>
        <w:t>3</w:t>
      </w:r>
      <w:r w:rsidRPr="00782DCA">
        <w:rPr>
          <w:sz w:val="28"/>
          <w:szCs w:val="28"/>
        </w:rPr>
        <w:t xml:space="preserve"> настоящего Порядка, </w:t>
      </w:r>
      <w:r w:rsidR="00E70AF6">
        <w:rPr>
          <w:sz w:val="28"/>
          <w:szCs w:val="28"/>
        </w:rPr>
        <w:t>участник отбора</w:t>
      </w:r>
      <w:r w:rsidRPr="00782DCA">
        <w:rPr>
          <w:sz w:val="28"/>
          <w:szCs w:val="28"/>
        </w:rPr>
        <w:t xml:space="preserve"> предоставляет </w:t>
      </w:r>
      <w:r w:rsidR="00E70AF6">
        <w:rPr>
          <w:sz w:val="28"/>
          <w:szCs w:val="28"/>
        </w:rPr>
        <w:t>копии следующих</w:t>
      </w:r>
      <w:r w:rsidRPr="00782DCA">
        <w:rPr>
          <w:sz w:val="28"/>
          <w:szCs w:val="28"/>
        </w:rPr>
        <w:t xml:space="preserve"> документ</w:t>
      </w:r>
      <w:r w:rsidR="00E70AF6">
        <w:rPr>
          <w:sz w:val="28"/>
          <w:szCs w:val="28"/>
        </w:rPr>
        <w:t>ов</w:t>
      </w:r>
      <w:r w:rsidRPr="00782DCA">
        <w:rPr>
          <w:sz w:val="28"/>
          <w:szCs w:val="28"/>
        </w:rPr>
        <w:t>:</w:t>
      </w:r>
    </w:p>
    <w:p w14:paraId="13F58766" w14:textId="01FD5740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5.1. </w:t>
      </w:r>
      <w:r w:rsidR="00E70AF6">
        <w:rPr>
          <w:sz w:val="28"/>
          <w:szCs w:val="28"/>
        </w:rPr>
        <w:t>Ш</w:t>
      </w:r>
      <w:r w:rsidRPr="00782DCA">
        <w:rPr>
          <w:sz w:val="28"/>
          <w:szCs w:val="28"/>
        </w:rPr>
        <w:t>татно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 xml:space="preserve"> расписани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>, действующе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 xml:space="preserve"> на дату подачи </w:t>
      </w:r>
      <w:r w:rsidR="00E70AF6">
        <w:rPr>
          <w:sz w:val="28"/>
          <w:szCs w:val="28"/>
        </w:rPr>
        <w:t>з</w:t>
      </w:r>
      <w:r w:rsidRPr="00782DCA">
        <w:rPr>
          <w:sz w:val="28"/>
          <w:szCs w:val="28"/>
        </w:rPr>
        <w:t xml:space="preserve">аявки </w:t>
      </w:r>
      <w:r w:rsidR="00E70AF6">
        <w:rPr>
          <w:sz w:val="28"/>
          <w:szCs w:val="28"/>
        </w:rPr>
        <w:t xml:space="preserve">на участие в отборе </w:t>
      </w:r>
      <w:r w:rsidRPr="00782DCA">
        <w:rPr>
          <w:sz w:val="28"/>
          <w:szCs w:val="28"/>
        </w:rPr>
        <w:t xml:space="preserve">и документов </w:t>
      </w:r>
      <w:r w:rsidR="00E70AF6">
        <w:rPr>
          <w:sz w:val="28"/>
          <w:szCs w:val="28"/>
        </w:rPr>
        <w:t>(для участников отбора</w:t>
      </w:r>
      <w:r w:rsidR="00CA6BDA">
        <w:rPr>
          <w:sz w:val="28"/>
          <w:szCs w:val="28"/>
        </w:rPr>
        <w:t>, имеющих наемных работников)</w:t>
      </w:r>
      <w:r w:rsidRPr="00782DCA">
        <w:rPr>
          <w:sz w:val="28"/>
          <w:szCs w:val="28"/>
        </w:rPr>
        <w:t>.</w:t>
      </w:r>
    </w:p>
    <w:p w14:paraId="4D580CDA" w14:textId="50DFCE21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 xml:space="preserve">5.2. </w:t>
      </w:r>
      <w:r w:rsidR="00E70AF6">
        <w:rPr>
          <w:sz w:val="28"/>
          <w:szCs w:val="28"/>
        </w:rPr>
        <w:t>Д</w:t>
      </w:r>
      <w:r w:rsidRPr="00782DCA">
        <w:rPr>
          <w:sz w:val="28"/>
          <w:szCs w:val="28"/>
        </w:rPr>
        <w:t>окумент</w:t>
      </w:r>
      <w:r w:rsidR="00E70AF6">
        <w:rPr>
          <w:sz w:val="28"/>
          <w:szCs w:val="28"/>
        </w:rPr>
        <w:t>ы</w:t>
      </w:r>
      <w:r w:rsidRPr="00782DCA">
        <w:rPr>
          <w:sz w:val="28"/>
          <w:szCs w:val="28"/>
        </w:rPr>
        <w:t>, подтверждающи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 xml:space="preserve"> факт осуществления </w:t>
      </w:r>
      <w:r w:rsidR="00E70AF6">
        <w:rPr>
          <w:sz w:val="28"/>
          <w:szCs w:val="28"/>
        </w:rPr>
        <w:t>участником отбора</w:t>
      </w:r>
      <w:r w:rsidRPr="00782DCA">
        <w:rPr>
          <w:sz w:val="28"/>
          <w:szCs w:val="28"/>
        </w:rPr>
        <w:t xml:space="preserve"> затрат на участие в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-ярмарочных мероприятиях:</w:t>
      </w:r>
    </w:p>
    <w:p w14:paraId="45F1D4E5" w14:textId="52C63AD7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договор (с приложениями и дополнительными соглашениями - при наличии), заключенн</w:t>
      </w:r>
      <w:r w:rsidR="00E70AF6">
        <w:rPr>
          <w:sz w:val="28"/>
          <w:szCs w:val="28"/>
        </w:rPr>
        <w:t>ый</w:t>
      </w:r>
      <w:r w:rsidRPr="00782DCA">
        <w:rPr>
          <w:sz w:val="28"/>
          <w:szCs w:val="28"/>
        </w:rPr>
        <w:t xml:space="preserve"> в соответствии с требованиями законодательс</w:t>
      </w:r>
      <w:r w:rsidR="00E70AF6">
        <w:rPr>
          <w:sz w:val="28"/>
          <w:szCs w:val="28"/>
        </w:rPr>
        <w:t>тва Российской Федерации между участником отбора</w:t>
      </w:r>
      <w:r w:rsidRPr="00782DCA">
        <w:rPr>
          <w:sz w:val="28"/>
          <w:szCs w:val="28"/>
        </w:rPr>
        <w:t xml:space="preserve"> и организатором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-ярмарочного мероприятия;</w:t>
      </w:r>
    </w:p>
    <w:p w14:paraId="6E30E9ED" w14:textId="49D8BA27" w:rsidR="00F74D65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договор (с приложениями и дополнительными соглашениями - при наличии), заключенн</w:t>
      </w:r>
      <w:r w:rsidR="00E70AF6">
        <w:rPr>
          <w:sz w:val="28"/>
          <w:szCs w:val="28"/>
        </w:rPr>
        <w:t>ый</w:t>
      </w:r>
      <w:r w:rsidRPr="00782DCA">
        <w:rPr>
          <w:sz w:val="28"/>
          <w:szCs w:val="28"/>
        </w:rPr>
        <w:t xml:space="preserve"> в соответствии с требованиями законодательства Российской Федерации между </w:t>
      </w:r>
      <w:r w:rsidR="00E70AF6">
        <w:rPr>
          <w:sz w:val="28"/>
          <w:szCs w:val="28"/>
        </w:rPr>
        <w:t>участником отбора</w:t>
      </w:r>
      <w:r w:rsidRPr="00782DCA">
        <w:rPr>
          <w:sz w:val="28"/>
          <w:szCs w:val="28"/>
        </w:rPr>
        <w:t xml:space="preserve"> и поставщиком услуг на транспортировку выставочных образцов до места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-ярмарочного мероприятия и обратно (предоставляется при наличии)</w:t>
      </w:r>
      <w:r w:rsidR="00F7736B">
        <w:rPr>
          <w:sz w:val="28"/>
          <w:szCs w:val="28"/>
        </w:rPr>
        <w:t>.</w:t>
      </w:r>
    </w:p>
    <w:p w14:paraId="69813CE4" w14:textId="5443BA89" w:rsidR="00782DCA" w:rsidRPr="00782DCA" w:rsidRDefault="00F74D65" w:rsidP="00F74D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транспортировки выставочных образцов автомобильным транспортом, принадлежащ</w:t>
      </w:r>
      <w:r w:rsidR="00BF6DF7">
        <w:rPr>
          <w:sz w:val="28"/>
          <w:szCs w:val="28"/>
        </w:rPr>
        <w:t>и</w:t>
      </w:r>
      <w:r>
        <w:rPr>
          <w:sz w:val="28"/>
          <w:szCs w:val="28"/>
        </w:rPr>
        <w:t xml:space="preserve">м </w:t>
      </w:r>
      <w:r w:rsidR="00BF6DF7">
        <w:rPr>
          <w:sz w:val="28"/>
          <w:szCs w:val="28"/>
        </w:rPr>
        <w:t>на</w:t>
      </w:r>
      <w:r>
        <w:rPr>
          <w:sz w:val="28"/>
          <w:szCs w:val="28"/>
        </w:rPr>
        <w:t xml:space="preserve"> прав</w:t>
      </w:r>
      <w:r w:rsidR="00BF6DF7">
        <w:rPr>
          <w:sz w:val="28"/>
          <w:szCs w:val="28"/>
        </w:rPr>
        <w:t>е</w:t>
      </w:r>
      <w:r>
        <w:rPr>
          <w:sz w:val="28"/>
          <w:szCs w:val="28"/>
        </w:rPr>
        <w:t xml:space="preserve"> собственности участнику отбора, расчет транспортных расходов производится по фактически произведенным затратам на оплату стоимости израсходованного топлива, подтвержденным чеками автозаправочных станций. При этом затраты рассчитываются в пределах норм расхода топлива, установленных для соответствующего транспортного средства, и исходя из кратчайшего маршрута следования</w:t>
      </w:r>
      <w:r w:rsidR="00782DCA" w:rsidRPr="00782DCA">
        <w:rPr>
          <w:sz w:val="28"/>
          <w:szCs w:val="28"/>
        </w:rPr>
        <w:t>;</w:t>
      </w:r>
    </w:p>
    <w:p w14:paraId="68413C1B" w14:textId="0DE5E36F" w:rsidR="005057EF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проездны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 xml:space="preserve"> документ</w:t>
      </w:r>
      <w:r w:rsidR="00E70AF6">
        <w:rPr>
          <w:sz w:val="28"/>
          <w:szCs w:val="28"/>
        </w:rPr>
        <w:t>ы</w:t>
      </w:r>
      <w:r w:rsidRPr="00782DCA">
        <w:rPr>
          <w:sz w:val="28"/>
          <w:szCs w:val="28"/>
        </w:rPr>
        <w:t xml:space="preserve"> (билет</w:t>
      </w:r>
      <w:r w:rsidR="00E70AF6">
        <w:rPr>
          <w:sz w:val="28"/>
          <w:szCs w:val="28"/>
        </w:rPr>
        <w:t>ы</w:t>
      </w:r>
      <w:r w:rsidRPr="00782DCA">
        <w:rPr>
          <w:sz w:val="28"/>
          <w:szCs w:val="28"/>
        </w:rPr>
        <w:t>), подтверждающи</w:t>
      </w:r>
      <w:r w:rsidR="00E70AF6">
        <w:rPr>
          <w:sz w:val="28"/>
          <w:szCs w:val="28"/>
        </w:rPr>
        <w:t>е</w:t>
      </w:r>
      <w:r w:rsidRPr="00782DCA">
        <w:rPr>
          <w:sz w:val="28"/>
          <w:szCs w:val="28"/>
        </w:rPr>
        <w:t xml:space="preserve"> проезд к месту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 xml:space="preserve">-ярмарочного мероприятия и обратно (предоставляются при наличии), с приложением копий посадочных талонов на транспортное средство (за исключением случаев проезда железнодорожным </w:t>
      </w:r>
      <w:r w:rsidRPr="00782DCA">
        <w:rPr>
          <w:sz w:val="28"/>
          <w:szCs w:val="28"/>
        </w:rPr>
        <w:lastRenderedPageBreak/>
        <w:t>транспортом), а также при необходимости - копии выписки из автоматизированной и</w:t>
      </w:r>
      <w:r w:rsidR="005057EF">
        <w:rPr>
          <w:sz w:val="28"/>
          <w:szCs w:val="28"/>
        </w:rPr>
        <w:t>нформационной системы перевозок,</w:t>
      </w:r>
      <w:r w:rsidRPr="00782DCA">
        <w:rPr>
          <w:sz w:val="28"/>
          <w:szCs w:val="28"/>
        </w:rPr>
        <w:t xml:space="preserve"> справки, выданной перевозчиком либо лицом, действующим на ос</w:t>
      </w:r>
      <w:r w:rsidR="005057EF">
        <w:rPr>
          <w:sz w:val="28"/>
          <w:szCs w:val="28"/>
        </w:rPr>
        <w:t xml:space="preserve">новании договора с перевозчиком, чеки автозаправочных станций, ПТС транспортного средства, </w:t>
      </w:r>
      <w:r w:rsidRPr="00782DCA">
        <w:rPr>
          <w:sz w:val="28"/>
          <w:szCs w:val="28"/>
        </w:rPr>
        <w:t xml:space="preserve">иной документ, подтверждающий факт произведения затрат </w:t>
      </w:r>
      <w:r w:rsidR="00E70AF6">
        <w:rPr>
          <w:sz w:val="28"/>
          <w:szCs w:val="28"/>
        </w:rPr>
        <w:t>участником отбора</w:t>
      </w:r>
      <w:r w:rsidRPr="00782DCA">
        <w:rPr>
          <w:sz w:val="28"/>
          <w:szCs w:val="28"/>
        </w:rPr>
        <w:t xml:space="preserve"> на оплату проезда, оформленный на бланке строгой отчетности</w:t>
      </w:r>
      <w:r w:rsidR="005057EF">
        <w:rPr>
          <w:sz w:val="28"/>
          <w:szCs w:val="28"/>
        </w:rPr>
        <w:t>.</w:t>
      </w:r>
    </w:p>
    <w:p w14:paraId="55BA9362" w14:textId="6E9B2502" w:rsidR="00BF6DF7" w:rsidRDefault="00BF6DF7" w:rsidP="00BF6DF7">
      <w:pPr>
        <w:ind w:firstLine="709"/>
        <w:jc w:val="both"/>
        <w:rPr>
          <w:sz w:val="28"/>
          <w:szCs w:val="28"/>
        </w:rPr>
      </w:pPr>
      <w:r w:rsidRPr="001B3C5E">
        <w:rPr>
          <w:sz w:val="28"/>
          <w:szCs w:val="28"/>
        </w:rPr>
        <w:t xml:space="preserve">В случае проезда к месту проведения </w:t>
      </w:r>
      <w:proofErr w:type="spellStart"/>
      <w:r w:rsidRPr="001B3C5E">
        <w:rPr>
          <w:sz w:val="28"/>
          <w:szCs w:val="28"/>
        </w:rPr>
        <w:t>выставочно</w:t>
      </w:r>
      <w:proofErr w:type="spellEnd"/>
      <w:r w:rsidRPr="001B3C5E">
        <w:rPr>
          <w:sz w:val="28"/>
          <w:szCs w:val="28"/>
        </w:rPr>
        <w:t xml:space="preserve">-ярмарочных мероприятий автомобильным транспортом, принадлежащим на праве собственности участнику отбора и (или) сотруднику, состоящему в штате участника отбора, расчет транспортных расходов производится по фактически произведенным затратам на оплату стоимости израсходованного топлива, подтвержденным чеками автозаправочных станций. При этом затраты рассчитываются в пределах </w:t>
      </w:r>
      <w:r>
        <w:rPr>
          <w:sz w:val="28"/>
          <w:szCs w:val="28"/>
        </w:rPr>
        <w:t>норм расхода топлива, установленных для соответствующего транспортного средства, и исходя из кратчайшего маршрута следования</w:t>
      </w:r>
      <w:r w:rsidR="00055A7D">
        <w:rPr>
          <w:sz w:val="28"/>
          <w:szCs w:val="28"/>
        </w:rPr>
        <w:t>:</w:t>
      </w:r>
    </w:p>
    <w:p w14:paraId="7BD5E7ED" w14:textId="46CBD222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документ</w:t>
      </w:r>
      <w:r w:rsidR="00E70AF6">
        <w:rPr>
          <w:sz w:val="28"/>
          <w:szCs w:val="28"/>
        </w:rPr>
        <w:t>ы, подтверждающие</w:t>
      </w:r>
      <w:r w:rsidRPr="00782DCA">
        <w:rPr>
          <w:sz w:val="28"/>
          <w:szCs w:val="28"/>
        </w:rPr>
        <w:t xml:space="preserve"> проживание в гостинице на период проведения </w:t>
      </w:r>
      <w:proofErr w:type="spellStart"/>
      <w:r w:rsidRPr="00782DCA">
        <w:rPr>
          <w:sz w:val="28"/>
          <w:szCs w:val="28"/>
        </w:rPr>
        <w:t>выставочно</w:t>
      </w:r>
      <w:proofErr w:type="spellEnd"/>
      <w:r w:rsidRPr="00782DCA">
        <w:rPr>
          <w:sz w:val="28"/>
          <w:szCs w:val="28"/>
        </w:rPr>
        <w:t>-ярмарочного мероприятия (предоставляются при наличии);</w:t>
      </w:r>
    </w:p>
    <w:p w14:paraId="582F5C44" w14:textId="77777777" w:rsidR="00782DCA" w:rsidRPr="00782DCA" w:rsidRDefault="00782DCA" w:rsidP="009E37CC">
      <w:pPr>
        <w:ind w:firstLine="709"/>
        <w:jc w:val="both"/>
        <w:rPr>
          <w:sz w:val="28"/>
          <w:szCs w:val="28"/>
        </w:rPr>
      </w:pPr>
      <w:r w:rsidRPr="00782DCA">
        <w:rPr>
          <w:sz w:val="28"/>
          <w:szCs w:val="28"/>
        </w:rPr>
        <w:t>- платежные документы в зависимости от вида затрат и способа их совершения (наличный или безналичный расчет): счета, счета-фактуры, товарные накладные, акты, платежные поручения с отметкой кредитной организации, кассовые или иные платежные документы.</w:t>
      </w:r>
    </w:p>
    <w:p w14:paraId="056D27A5" w14:textId="77777777" w:rsidR="00E70AF6" w:rsidRPr="005F3698" w:rsidRDefault="00E70AF6" w:rsidP="00E70AF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F3698">
        <w:rPr>
          <w:sz w:val="28"/>
          <w:szCs w:val="28"/>
        </w:rPr>
        <w:t>Копии документов д</w:t>
      </w:r>
      <w:r>
        <w:rPr>
          <w:sz w:val="28"/>
          <w:szCs w:val="28"/>
        </w:rPr>
        <w:t>олжны быть заверены участником отбора.</w:t>
      </w:r>
    </w:p>
    <w:sectPr w:rsidR="00E70AF6" w:rsidRPr="005F3698" w:rsidSect="001B22A3">
      <w:headerReference w:type="default" r:id="rId10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46FA1" w14:textId="77777777" w:rsidR="00CE3DE3" w:rsidRDefault="00CE3DE3">
      <w:r>
        <w:separator/>
      </w:r>
    </w:p>
  </w:endnote>
  <w:endnote w:type="continuationSeparator" w:id="0">
    <w:p w14:paraId="5B7B72C6" w14:textId="77777777" w:rsidR="00CE3DE3" w:rsidRDefault="00CE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46CD3" w14:textId="77777777" w:rsidR="00CE3DE3" w:rsidRDefault="00CE3DE3">
      <w:r>
        <w:separator/>
      </w:r>
    </w:p>
  </w:footnote>
  <w:footnote w:type="continuationSeparator" w:id="0">
    <w:p w14:paraId="4E9998FF" w14:textId="77777777" w:rsidR="00CE3DE3" w:rsidRDefault="00CE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626488"/>
      <w:docPartObj>
        <w:docPartGallery w:val="Page Numbers (Top of Page)"/>
        <w:docPartUnique/>
      </w:docPartObj>
    </w:sdtPr>
    <w:sdtEndPr/>
    <w:sdtContent>
      <w:p w14:paraId="76E859BE" w14:textId="53C1D33E" w:rsidR="00184178" w:rsidRDefault="001841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EB2">
          <w:rPr>
            <w:noProof/>
          </w:rPr>
          <w:t>3</w:t>
        </w:r>
        <w:r>
          <w:fldChar w:fldCharType="end"/>
        </w:r>
      </w:p>
    </w:sdtContent>
  </w:sdt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55A7D"/>
    <w:rsid w:val="00091B8A"/>
    <w:rsid w:val="000D175D"/>
    <w:rsid w:val="001067F4"/>
    <w:rsid w:val="00115A57"/>
    <w:rsid w:val="001348EB"/>
    <w:rsid w:val="00134EA8"/>
    <w:rsid w:val="001673C6"/>
    <w:rsid w:val="00184178"/>
    <w:rsid w:val="00184800"/>
    <w:rsid w:val="001B22A3"/>
    <w:rsid w:val="001B3C5E"/>
    <w:rsid w:val="001C0012"/>
    <w:rsid w:val="001C47B1"/>
    <w:rsid w:val="001F4E4F"/>
    <w:rsid w:val="00202A45"/>
    <w:rsid w:val="002058EC"/>
    <w:rsid w:val="002369D3"/>
    <w:rsid w:val="00256C0E"/>
    <w:rsid w:val="002646EC"/>
    <w:rsid w:val="00297250"/>
    <w:rsid w:val="002F14DF"/>
    <w:rsid w:val="003212A3"/>
    <w:rsid w:val="0033332F"/>
    <w:rsid w:val="00347415"/>
    <w:rsid w:val="00353E6C"/>
    <w:rsid w:val="00363FC9"/>
    <w:rsid w:val="00386434"/>
    <w:rsid w:val="003C60EC"/>
    <w:rsid w:val="003E33E2"/>
    <w:rsid w:val="003E62A0"/>
    <w:rsid w:val="003E74EC"/>
    <w:rsid w:val="00416224"/>
    <w:rsid w:val="00454364"/>
    <w:rsid w:val="00487309"/>
    <w:rsid w:val="00494C94"/>
    <w:rsid w:val="004B18DB"/>
    <w:rsid w:val="004C7D48"/>
    <w:rsid w:val="005057EF"/>
    <w:rsid w:val="00572963"/>
    <w:rsid w:val="005D62D2"/>
    <w:rsid w:val="006340A5"/>
    <w:rsid w:val="0063783E"/>
    <w:rsid w:val="00651800"/>
    <w:rsid w:val="00697AD3"/>
    <w:rsid w:val="006D374C"/>
    <w:rsid w:val="007169E4"/>
    <w:rsid w:val="00725C1B"/>
    <w:rsid w:val="00744AAD"/>
    <w:rsid w:val="00775F5A"/>
    <w:rsid w:val="0078048B"/>
    <w:rsid w:val="00782DCA"/>
    <w:rsid w:val="007853E2"/>
    <w:rsid w:val="007E72E3"/>
    <w:rsid w:val="00860414"/>
    <w:rsid w:val="00864CB0"/>
    <w:rsid w:val="008872B8"/>
    <w:rsid w:val="008D7012"/>
    <w:rsid w:val="00900CA3"/>
    <w:rsid w:val="00901976"/>
    <w:rsid w:val="009535CE"/>
    <w:rsid w:val="00974CA6"/>
    <w:rsid w:val="009B52CD"/>
    <w:rsid w:val="009C6A25"/>
    <w:rsid w:val="009C6BB8"/>
    <w:rsid w:val="009E37CC"/>
    <w:rsid w:val="00A0116A"/>
    <w:rsid w:val="00A55B69"/>
    <w:rsid w:val="00AA2A3C"/>
    <w:rsid w:val="00AC6445"/>
    <w:rsid w:val="00AE276F"/>
    <w:rsid w:val="00AF3037"/>
    <w:rsid w:val="00B20901"/>
    <w:rsid w:val="00B234E8"/>
    <w:rsid w:val="00B92613"/>
    <w:rsid w:val="00B971B4"/>
    <w:rsid w:val="00BA4301"/>
    <w:rsid w:val="00BF6DF7"/>
    <w:rsid w:val="00C2376A"/>
    <w:rsid w:val="00C50A3F"/>
    <w:rsid w:val="00C53367"/>
    <w:rsid w:val="00C60EB2"/>
    <w:rsid w:val="00CA6BDA"/>
    <w:rsid w:val="00CC7007"/>
    <w:rsid w:val="00CE3DE3"/>
    <w:rsid w:val="00D02B8E"/>
    <w:rsid w:val="00D1338F"/>
    <w:rsid w:val="00D30DE6"/>
    <w:rsid w:val="00D51A28"/>
    <w:rsid w:val="00D8565B"/>
    <w:rsid w:val="00DA6A55"/>
    <w:rsid w:val="00DC539F"/>
    <w:rsid w:val="00E061F0"/>
    <w:rsid w:val="00E23095"/>
    <w:rsid w:val="00E70AF6"/>
    <w:rsid w:val="00EB73FA"/>
    <w:rsid w:val="00F23526"/>
    <w:rsid w:val="00F50A86"/>
    <w:rsid w:val="00F735B4"/>
    <w:rsid w:val="00F74D65"/>
    <w:rsid w:val="00F7736B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Инна Н. Балык</cp:lastModifiedBy>
  <cp:revision>3</cp:revision>
  <dcterms:created xsi:type="dcterms:W3CDTF">2025-02-21T04:25:00Z</dcterms:created>
  <dcterms:modified xsi:type="dcterms:W3CDTF">2025-02-23T23:06:00Z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