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CE80" w14:textId="3FA78C60" w:rsidR="002D346A" w:rsidRPr="001F0D04" w:rsidRDefault="002D346A" w:rsidP="002D346A">
      <w:pPr>
        <w:tabs>
          <w:tab w:val="left" w:pos="7879"/>
        </w:tabs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b/>
          <w:bCs/>
          <w:sz w:val="24"/>
          <w:szCs w:val="24"/>
          <w:u w:val="single"/>
        </w:rPr>
      </w:pPr>
      <w:r w:rsidRPr="001F0D04">
        <w:rPr>
          <w:rFonts w:ascii="Montserrat" w:eastAsia="Tahoma" w:hAnsi="Montserrat" w:cs="Times New Roman"/>
          <w:b/>
          <w:bCs/>
          <w:sz w:val="24"/>
          <w:szCs w:val="24"/>
        </w:rPr>
        <w:t>СМЕТА РЕАЛИЗАЦИИ ПРОЕКТА</w:t>
      </w:r>
    </w:p>
    <w:p w14:paraId="61F6F291" w14:textId="23AB5A8F" w:rsidR="002D346A" w:rsidRDefault="002D346A" w:rsidP="002D346A">
      <w:pPr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b/>
          <w:bCs/>
          <w:sz w:val="24"/>
          <w:szCs w:val="24"/>
        </w:rPr>
      </w:pPr>
      <w:r w:rsidRPr="001F0D04">
        <w:rPr>
          <w:rFonts w:ascii="Montserrat" w:eastAsia="Tahoma" w:hAnsi="Montserrat" w:cs="Times New Roman"/>
          <w:b/>
          <w:bCs/>
          <w:sz w:val="24"/>
          <w:szCs w:val="24"/>
        </w:rPr>
        <w:t>«_______________________________»</w:t>
      </w:r>
    </w:p>
    <w:p w14:paraId="6D1397A8" w14:textId="23ADCAC7" w:rsidR="0088159C" w:rsidRPr="0088159C" w:rsidRDefault="0088159C" w:rsidP="002D346A">
      <w:pPr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sz w:val="20"/>
          <w:szCs w:val="20"/>
        </w:rPr>
      </w:pPr>
      <w:r w:rsidRPr="0088159C">
        <w:rPr>
          <w:rFonts w:ascii="Montserrat" w:eastAsia="Tahoma" w:hAnsi="Montserrat" w:cs="Times New Roman"/>
          <w:sz w:val="20"/>
          <w:szCs w:val="20"/>
        </w:rPr>
        <w:t>(наименование комплектующего)</w:t>
      </w:r>
    </w:p>
    <w:p w14:paraId="44D7DACD" w14:textId="77777777" w:rsidR="00CA3448" w:rsidRPr="007A58E1" w:rsidRDefault="00CA3448" w:rsidP="00CA3448">
      <w:pPr>
        <w:autoSpaceDE w:val="0"/>
        <w:autoSpaceDN w:val="0"/>
        <w:spacing w:after="0" w:line="240" w:lineRule="auto"/>
        <w:jc w:val="both"/>
        <w:rPr>
          <w:rFonts w:ascii="Montserrat" w:eastAsia="Tahoma" w:hAnsi="Montserrat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="112" w:tblpY="1"/>
        <w:tblOverlap w:val="never"/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"/>
        <w:gridCol w:w="500"/>
        <w:gridCol w:w="1412"/>
        <w:gridCol w:w="3457"/>
        <w:gridCol w:w="4633"/>
        <w:gridCol w:w="1275"/>
        <w:gridCol w:w="1265"/>
        <w:gridCol w:w="1275"/>
        <w:gridCol w:w="1275"/>
        <w:gridCol w:w="97"/>
      </w:tblGrid>
      <w:tr w:rsidR="007569C2" w:rsidRPr="008A021E" w14:paraId="5EB9C6A5" w14:textId="77777777" w:rsidTr="00F74A71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5F057BC7" w14:textId="77777777" w:rsidR="007569C2" w:rsidRPr="008A021E" w:rsidRDefault="007569C2" w:rsidP="005774C7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№ п/п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06A7B0C" w14:textId="25CFD15C" w:rsidR="007569C2" w:rsidRPr="00A75EFE" w:rsidRDefault="00F74A71" w:rsidP="007A58E1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Финансовый</w:t>
            </w:r>
            <w:r w:rsidR="007A58E1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r w:rsidR="007A58E1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период, </w:t>
            </w: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год</w:t>
            </w:r>
            <w:r w:rsidR="007A58E1">
              <w:rPr>
                <w:rStyle w:val="af1"/>
                <w:rFonts w:ascii="Montserrat" w:eastAsia="Tahoma" w:hAnsi="Montserrat" w:cs="Times New Roman"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10630" w:type="dxa"/>
            <w:gridSpan w:val="4"/>
            <w:vAlign w:val="center"/>
          </w:tcPr>
          <w:p w14:paraId="3FFF81EE" w14:textId="77777777" w:rsidR="007569C2" w:rsidRPr="008A021E" w:rsidRDefault="007569C2" w:rsidP="005774C7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По статьям затрат (заполняются для каждого этапа реализации проекта)</w:t>
            </w:r>
          </w:p>
        </w:tc>
        <w:tc>
          <w:tcPr>
            <w:tcW w:w="1275" w:type="dxa"/>
            <w:vAlign w:val="center"/>
          </w:tcPr>
          <w:p w14:paraId="482869FE" w14:textId="77777777" w:rsidR="007569C2" w:rsidRPr="008A021E" w:rsidRDefault="007569C2" w:rsidP="005774C7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Средства гранта, </w:t>
            </w: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рубли</w:t>
            </w:r>
          </w:p>
        </w:tc>
        <w:tc>
          <w:tcPr>
            <w:tcW w:w="1275" w:type="dxa"/>
          </w:tcPr>
          <w:p w14:paraId="517709A4" w14:textId="77777777" w:rsidR="007569C2" w:rsidRPr="008A021E" w:rsidRDefault="007569C2" w:rsidP="005774C7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Внебюджетные средства, рубли</w:t>
            </w:r>
            <w:r w:rsidRPr="008A021E">
              <w:rPr>
                <w:rStyle w:val="af1"/>
                <w:rFonts w:ascii="Montserrat" w:eastAsia="Tahoma" w:hAnsi="Montserrat" w:cs="Times New Roman"/>
                <w:sz w:val="20"/>
                <w:szCs w:val="20"/>
                <w:lang w:val="ru-RU"/>
              </w:rPr>
              <w:footnoteReference w:id="2"/>
            </w:r>
          </w:p>
        </w:tc>
      </w:tr>
      <w:tr w:rsidR="007569C2" w:rsidRPr="008A021E" w14:paraId="5D8B9F21" w14:textId="77777777" w:rsidTr="005774C7">
        <w:trPr>
          <w:gridBefore w:val="1"/>
          <w:gridAfter w:val="1"/>
          <w:wBefore w:w="99" w:type="dxa"/>
          <w:wAfter w:w="97" w:type="dxa"/>
          <w:trHeight w:val="21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1A1" w14:textId="77777777" w:rsidR="007569C2" w:rsidRPr="008A021E" w:rsidRDefault="007569C2" w:rsidP="005774C7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AAF" w14:textId="17B480D1" w:rsidR="007569C2" w:rsidRPr="008A021E" w:rsidRDefault="00F74A71" w:rsidP="007D07FB">
            <w:pPr>
              <w:spacing w:line="360" w:lineRule="auto"/>
              <w:ind w:firstLine="110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20___</w:t>
            </w:r>
            <w:r w:rsidR="007569C2"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39E146CE" w14:textId="6C676800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а)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оплату труда работников, непосредственно участвующих в реализации проекта, а также затраты на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по обязательному медицинскому страхованию, отчисления на страховые взносы по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обязательному социальному страхованию на случай временной нетрудоспособности и в связи с материнством,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на обязательное социальное страхование от несчастных случаев на производстве и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профессиональных заболеваний, отчисления на страховые взносы по обязательному пенсионному страхованию,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начисленные на суммы расходов на оплату труда (не более 70 процентов от общего размера гранта)</w:t>
            </w:r>
          </w:p>
        </w:tc>
        <w:tc>
          <w:tcPr>
            <w:tcW w:w="1275" w:type="dxa"/>
          </w:tcPr>
          <w:p w14:paraId="12660E67" w14:textId="77777777" w:rsidR="007569C2" w:rsidRPr="00370B9F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7043366B" w14:textId="77777777" w:rsidR="007569C2" w:rsidRPr="00370B9F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08E93B61" w14:textId="77777777" w:rsidTr="005774C7">
        <w:trPr>
          <w:gridBefore w:val="1"/>
          <w:gridAfter w:val="1"/>
          <w:wBefore w:w="99" w:type="dxa"/>
          <w:wAfter w:w="97" w:type="dxa"/>
          <w:trHeight w:val="1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35B" w14:textId="77777777" w:rsidR="007569C2" w:rsidRPr="00370B9F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941" w14:textId="77777777" w:rsidR="007569C2" w:rsidRPr="00370B9F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6DC48B5E" w14:textId="7731AF8B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б)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материальные расходы, непосредственно связанные с разработкой конструкторской документации, включая расходы на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закупку сырья и материалов (включая специальные инструменты, специальные приспособления) (с учетом налога на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стоимость), в том числе расходы, понесенные получателем гранта до заключения договора о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предоставлении гранта, но не ранее даты определения победителя конкурсного отбора, при условии документального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подтверждения таких расходов получателем гранта в рамках ведения раздельного учета расходов на реализацию проекта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(не более 50 процентов от общего размера гранта)</w:t>
            </w:r>
          </w:p>
        </w:tc>
        <w:tc>
          <w:tcPr>
            <w:tcW w:w="1275" w:type="dxa"/>
          </w:tcPr>
          <w:p w14:paraId="28237D4D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48AB907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1E1347A9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933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5E0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12CDB26B" w14:textId="3E988C41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расходы на приобретение оборудования, необходимого для реализации проекта, в том числе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lastRenderedPageBreak/>
              <w:t>лабораторного,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исследовательского, испытательного, контрольно-измерительного и вспомогательного оборудования (с учетом налога на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 (не более 40 процентов от общего размера гранта)</w:t>
            </w:r>
          </w:p>
        </w:tc>
        <w:tc>
          <w:tcPr>
            <w:tcW w:w="1275" w:type="dxa"/>
          </w:tcPr>
          <w:p w14:paraId="7842624C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5C1FCFD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4E80C177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863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E6E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59E9F473" w14:textId="5416C66A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г)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накладные расходы в размере не более 100 процентов суммы расходов, определенных подпунктом «а» настоящего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пункта, связанные с разработкой конструкторской документации (кроме представительских расходов, оплаты проезда к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месту отдыха, организации участия в выставках) (с учетом налога на добавленную стоимость)</w:t>
            </w:r>
          </w:p>
        </w:tc>
        <w:tc>
          <w:tcPr>
            <w:tcW w:w="1275" w:type="dxa"/>
          </w:tcPr>
          <w:p w14:paraId="7F53CE98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4D298FDC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6C02A87D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434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DCB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3804A27D" w14:textId="776B0A5C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д)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оплату работ (услуг) организаций, привлекаемых для выполнения отдельных работ, связанных с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разработкой конструкторской документации (с учетом налога на добавленную стоимость) (не более 50 процентов от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общего размера гранта)</w:t>
            </w:r>
          </w:p>
        </w:tc>
        <w:tc>
          <w:tcPr>
            <w:tcW w:w="1275" w:type="dxa"/>
          </w:tcPr>
          <w:p w14:paraId="24DA62AA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907D1A5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5991EDA3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5C9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BF5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3FAC0AF9" w14:textId="78A8CC84" w:rsidR="007569C2" w:rsidRPr="00370B9F" w:rsidRDefault="007569C2" w:rsidP="00370B9F">
            <w:pPr>
              <w:adjustRightInd w:val="0"/>
              <w:spacing w:line="360" w:lineRule="auto"/>
              <w:jc w:val="both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е)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содержание и эксплуатацию научно-исследовательского оборудования, установок и сооружений, иных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объектов основных средств, непосредственно связанных с разработкой конструкторской документации (с учетом налога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 добавленную стоимость) (не более 20 процентов от общего размера гранта)</w:t>
            </w:r>
          </w:p>
        </w:tc>
        <w:tc>
          <w:tcPr>
            <w:tcW w:w="1275" w:type="dxa"/>
          </w:tcPr>
          <w:p w14:paraId="462DCB8C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5E69293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7569C2" w:rsidRPr="008A021E" w14:paraId="7C03663D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70E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30D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4B734A4D" w14:textId="4939A6EE" w:rsidR="007569C2" w:rsidRPr="00370B9F" w:rsidRDefault="007569C2" w:rsidP="00370B9F">
            <w:pPr>
              <w:adjustRightInd w:val="0"/>
              <w:spacing w:line="360" w:lineRule="auto"/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ж) 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приобретение изделий сравнения, необходимых для разработки конструкторской документации (с учетом</w:t>
            </w:r>
            <w:r w:rsid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="00370B9F"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налога на добавленную стоимость) (не более 30 процентов от общего размера гранта)</w:t>
            </w:r>
          </w:p>
        </w:tc>
        <w:tc>
          <w:tcPr>
            <w:tcW w:w="1275" w:type="dxa"/>
          </w:tcPr>
          <w:p w14:paraId="20F63A20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120A269" w14:textId="77777777" w:rsidR="007569C2" w:rsidRPr="008A021E" w:rsidRDefault="007569C2" w:rsidP="005774C7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7758AFED" w14:textId="77777777" w:rsidTr="005774C7">
        <w:trPr>
          <w:gridBefore w:val="1"/>
          <w:gridAfter w:val="1"/>
          <w:wBefore w:w="99" w:type="dxa"/>
          <w:wAfter w:w="97" w:type="dxa"/>
          <w:trHeight w:val="21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D5B" w14:textId="4D239FDF" w:rsidR="00370B9F" w:rsidRPr="004856B9" w:rsidRDefault="00370B9F" w:rsidP="00370B9F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EE2" w14:textId="6DE0911A" w:rsidR="00370B9F" w:rsidRPr="008A021E" w:rsidRDefault="00370B9F" w:rsidP="00370B9F">
            <w:pPr>
              <w:tabs>
                <w:tab w:val="left" w:pos="519"/>
              </w:tabs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20___</w:t>
            </w:r>
            <w:r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32EE2A6C" w14:textId="0636D614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а)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оплату труда работников, непосредственно участвующих в реализации проекта, а также затраты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по обязательному медицинскому страхованию, отчисления на страховые взносы по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обязательному социальному страхованию на случай временной нетрудоспособности и в связи с материнством,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на обязательное социальное страхование от несчастных случаев на производстве и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профессиональных заболеваний, отчисления на страховые взносы по обязательному пенсионному страхованию,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начисленные на суммы расходов на оплату труда (не более 70 процентов от общего размера гранта)</w:t>
            </w:r>
          </w:p>
        </w:tc>
        <w:tc>
          <w:tcPr>
            <w:tcW w:w="1275" w:type="dxa"/>
          </w:tcPr>
          <w:p w14:paraId="75DE2E4C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67A31B3C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7CDD970E" w14:textId="77777777" w:rsidTr="005774C7">
        <w:trPr>
          <w:gridBefore w:val="1"/>
          <w:gridAfter w:val="1"/>
          <w:wBefore w:w="99" w:type="dxa"/>
          <w:wAfter w:w="97" w:type="dxa"/>
          <w:trHeight w:val="1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CDA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472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026D6DAC" w14:textId="00BF81FB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б)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материальные расходы, непосредственно связанные с разработкой конструкторской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lastRenderedPageBreak/>
              <w:t>документации, включая расходы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закупку сырья и материалов (включая специальные инструменты, специальные приспособления) (с учетом налога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стоимость), в том числе расходы, понесенные получателем гранта до заключения договора 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предоставлении гранта, но не ранее даты определения победителя конкурсного отбора, при условии документального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подтверждения таких расходов получателем гранта в рамках ведения раздельного учета расходов на реализацию проекта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(не более 50 процентов от общего размера гранта)</w:t>
            </w:r>
          </w:p>
        </w:tc>
        <w:tc>
          <w:tcPr>
            <w:tcW w:w="1275" w:type="dxa"/>
          </w:tcPr>
          <w:p w14:paraId="3B15144F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2B8F6B7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16DF903B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65A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4AE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6EB6ED2E" w14:textId="4DEA33F3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приобретение оборудования, необходимого для реализации проекта, в том числе лабораторного,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исследовательского, испытательного, контрольно-измерительного и вспомогательного оборудования (с учетом налога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 (не более 40 процентов от общего размера гранта)</w:t>
            </w:r>
          </w:p>
        </w:tc>
        <w:tc>
          <w:tcPr>
            <w:tcW w:w="1275" w:type="dxa"/>
          </w:tcPr>
          <w:p w14:paraId="7AB5F538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18D5AC2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01233146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36A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408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58F2B510" w14:textId="2CD7C53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г)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накладные расходы в размере не более 100 процентов суммы расходов, определенных подпунктом «а» настоящего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пункта, связанные с разработкой конструкторской документации (кроме представительских расходов, оплаты проезда к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месту отдыха, организации участия в выставках) (с учетом налога на добавленную стоимость)</w:t>
            </w:r>
          </w:p>
        </w:tc>
        <w:tc>
          <w:tcPr>
            <w:tcW w:w="1275" w:type="dxa"/>
          </w:tcPr>
          <w:p w14:paraId="7218FC74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4399DF95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55D3401B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B40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F28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63B83CB8" w14:textId="6CB58F44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д)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оплату работ (услуг) организаций, привлекаемых для выполнения отдельных работ, связанных с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разработкой конструкторской документации (с учетом налога на добавленную стоимость) (не более 50 процентов от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общего размера гранта)</w:t>
            </w:r>
          </w:p>
        </w:tc>
        <w:tc>
          <w:tcPr>
            <w:tcW w:w="1275" w:type="dxa"/>
          </w:tcPr>
          <w:p w14:paraId="2DFE3AD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D24BF80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0E9313EA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4E6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446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0FF985D1" w14:textId="0C461E11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е)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содержание и эксплуатацию научно-исследовательского оборудования, установок и сооружений, иных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объектов основных средств, непосредственно связанных с разработкой конструкторской документации (с учетом налога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 добавленную стоимость) (не более 20 процентов от общего размера гранта)</w:t>
            </w:r>
          </w:p>
        </w:tc>
        <w:tc>
          <w:tcPr>
            <w:tcW w:w="1275" w:type="dxa"/>
          </w:tcPr>
          <w:p w14:paraId="728F6B87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31D1AA0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371D6C79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CC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ED9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549CC246" w14:textId="78FC171D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ж)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приобретение изделий сравнения, необходимых для разработки конструкторской документации (с учетом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налога на добавленную стоимость) (не более 30 процентов от общего размера гранта)</w:t>
            </w:r>
          </w:p>
        </w:tc>
        <w:tc>
          <w:tcPr>
            <w:tcW w:w="1275" w:type="dxa"/>
          </w:tcPr>
          <w:p w14:paraId="1CD5D04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51A4B76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41B4D1E1" w14:textId="77777777" w:rsidTr="005774C7">
        <w:trPr>
          <w:gridBefore w:val="1"/>
          <w:gridAfter w:val="1"/>
          <w:wBefore w:w="99" w:type="dxa"/>
          <w:wAfter w:w="97" w:type="dxa"/>
          <w:trHeight w:val="21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3C3" w14:textId="65FB8CFC" w:rsidR="00370B9F" w:rsidRPr="004856B9" w:rsidRDefault="00370B9F" w:rsidP="00370B9F">
            <w:pPr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249" w14:textId="31A5BC0D" w:rsidR="00370B9F" w:rsidRPr="008A021E" w:rsidRDefault="00370B9F" w:rsidP="00370B9F">
            <w:pPr>
              <w:tabs>
                <w:tab w:val="left" w:pos="519"/>
              </w:tabs>
              <w:spacing w:line="360" w:lineRule="auto"/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20___</w:t>
            </w:r>
            <w:r w:rsidRPr="008A021E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61801C2F" w14:textId="04DE060B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а)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расходы на оплату труда работников, непосредственно участвующих в реализации проекта, а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lastRenderedPageBreak/>
              <w:t>также затраты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по обязательному медицинскому страхованию, отчисления на страховые взносы по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обязательному социальному страхованию на случай временной нетрудоспособности и в связи с материнством,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отчисления на страховые взносы на обязательное социальное страхование от несчастных случаев на производстве и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профессиональных заболеваний, отчисления на страховые взносы по обязательному пенсионному страхованию,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начисленные на суммы расходов на оплату труда (не более 70 процентов от общего размера гранта)</w:t>
            </w:r>
          </w:p>
        </w:tc>
        <w:tc>
          <w:tcPr>
            <w:tcW w:w="1275" w:type="dxa"/>
          </w:tcPr>
          <w:p w14:paraId="0AC625F9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6EAB6E56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58FF9A97" w14:textId="77777777" w:rsidTr="005774C7">
        <w:trPr>
          <w:gridBefore w:val="1"/>
          <w:gridAfter w:val="1"/>
          <w:wBefore w:w="99" w:type="dxa"/>
          <w:wAfter w:w="97" w:type="dxa"/>
          <w:trHeight w:val="1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94C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A2A" w14:textId="77777777" w:rsidR="00370B9F" w:rsidRPr="00370B9F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08FDBA22" w14:textId="549A8A2B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б)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материальные расходы, непосредственно связанные с разработкой конструкторской документации, включая расходы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закупку сырья и материалов (включая специальные инструменты, специальные приспособления) (с учетом налога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стоимость), в том числе расходы, понесенные получателем гранта до заключения договора 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предоставлении гранта, но не ранее даты определения победителя конкурсного отбора, при условии документального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подтверждения таких расходов получателем гранта в рамках ведения раздельного учета расходов на реализацию проекта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(не более 50 процентов от общего размера гранта)</w:t>
            </w:r>
          </w:p>
        </w:tc>
        <w:tc>
          <w:tcPr>
            <w:tcW w:w="1275" w:type="dxa"/>
          </w:tcPr>
          <w:p w14:paraId="08DA5AE9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BDE44B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531D6461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8D5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563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7EF050EA" w14:textId="47B379F9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приобретение оборудования, необходимого для реализации проекта, в том числе лабораторного,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исследовательского, испытательного, контрольно-измерительного и вспомогательного оборудования (с учетом налога на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добавленную стоимость) (не более 40 процентов от общего размера гранта)</w:t>
            </w:r>
          </w:p>
        </w:tc>
        <w:tc>
          <w:tcPr>
            <w:tcW w:w="1275" w:type="dxa"/>
          </w:tcPr>
          <w:p w14:paraId="645D2BE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56AF3F1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6871AE0F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B26F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3F5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730C6A5A" w14:textId="4B5B23F1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г)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накладные расходы в размере не более 100 процентов суммы расходов, определенных подпунктом «а» настоящего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пункта, связанные с разработкой конструкторской документации (кроме представительских расходов, оплаты проезда к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месту отдыха, организации участия в выставках) (с учетом налога на добавленную стоимость)</w:t>
            </w:r>
          </w:p>
        </w:tc>
        <w:tc>
          <w:tcPr>
            <w:tcW w:w="1275" w:type="dxa"/>
          </w:tcPr>
          <w:p w14:paraId="3E59026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7BEA94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47E43DAD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38D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CF5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4BD9A335" w14:textId="027EB044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д)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оплату работ (услуг) организаций, привлекаемых для выполнения отдельных работ, связанных с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разработкой конструкторской документации (с учетом налога на добавленную стоимость) (не более 50 процентов от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общего размера гранта)</w:t>
            </w:r>
          </w:p>
        </w:tc>
        <w:tc>
          <w:tcPr>
            <w:tcW w:w="1275" w:type="dxa"/>
          </w:tcPr>
          <w:p w14:paraId="7756F9FF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5EC1B25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1345B0E6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FEA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439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5BFE5AA5" w14:textId="513CE0C4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е)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расходы на содержание и эксплуатацию научно-исследовательского оборудования, установок и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lastRenderedPageBreak/>
              <w:t>сооружений, иных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объектов основных средств, непосредственно связанных с разработкой конструкторской документации (с учетом налога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 добавленную стоимость) (не более 20 процентов от общего размера гранта)</w:t>
            </w:r>
          </w:p>
        </w:tc>
        <w:tc>
          <w:tcPr>
            <w:tcW w:w="1275" w:type="dxa"/>
          </w:tcPr>
          <w:p w14:paraId="47E8537E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6D7E3AA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0D8E0C5C" w14:textId="77777777" w:rsidTr="005774C7">
        <w:trPr>
          <w:gridBefore w:val="1"/>
          <w:gridAfter w:val="1"/>
          <w:wBefore w:w="99" w:type="dxa"/>
          <w:wAfter w:w="97" w:type="dxa"/>
          <w:trHeight w:val="5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D9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381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0630" w:type="dxa"/>
            <w:gridSpan w:val="4"/>
            <w:tcBorders>
              <w:left w:val="single" w:sz="4" w:space="0" w:color="auto"/>
            </w:tcBorders>
          </w:tcPr>
          <w:p w14:paraId="79AD4330" w14:textId="2787A4A9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370B9F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ж) 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расходы на приобретение изделий сравнения, необходимых для разработки конструкторской документации (с учетом</w:t>
            </w:r>
            <w:r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370B9F">
              <w:rPr>
                <w:rFonts w:ascii="Montserrat" w:hAnsi="Montserrat" w:cs="Õ /"/>
                <w:sz w:val="20"/>
                <w:szCs w:val="20"/>
                <w:lang w:val="ru-RU"/>
                <w14:ligatures w14:val="standardContextual"/>
              </w:rPr>
              <w:t>налога на добавленную стоимость) (не более 30 процентов от общего размера гранта)</w:t>
            </w:r>
          </w:p>
        </w:tc>
        <w:tc>
          <w:tcPr>
            <w:tcW w:w="1275" w:type="dxa"/>
          </w:tcPr>
          <w:p w14:paraId="06F774CA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5E480FA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370B9F" w:rsidRPr="008A021E" w14:paraId="7B4E61E5" w14:textId="77777777" w:rsidTr="005774C7">
        <w:trPr>
          <w:gridBefore w:val="1"/>
          <w:gridAfter w:val="1"/>
          <w:wBefore w:w="99" w:type="dxa"/>
          <w:wAfter w:w="97" w:type="dxa"/>
          <w:trHeight w:val="193"/>
        </w:trPr>
        <w:tc>
          <w:tcPr>
            <w:tcW w:w="500" w:type="dxa"/>
            <w:tcBorders>
              <w:top w:val="single" w:sz="4" w:space="0" w:color="auto"/>
            </w:tcBorders>
          </w:tcPr>
          <w:p w14:paraId="62E64551" w14:textId="77777777" w:rsidR="00370B9F" w:rsidRPr="005774C7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36FE299D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ИТОГО</w:t>
            </w:r>
          </w:p>
        </w:tc>
        <w:tc>
          <w:tcPr>
            <w:tcW w:w="10630" w:type="dxa"/>
            <w:gridSpan w:val="4"/>
          </w:tcPr>
          <w:p w14:paraId="4F8F492C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F6EE5B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22FCF1" w14:textId="77777777" w:rsidR="00370B9F" w:rsidRPr="008A021E" w:rsidRDefault="00370B9F" w:rsidP="00370B9F">
            <w:pPr>
              <w:spacing w:line="360" w:lineRule="auto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  <w:tr w:rsidR="00370B9F" w:rsidRPr="008A021E" w14:paraId="1FF422F7" w14:textId="77777777" w:rsidTr="0057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5468" w:type="dxa"/>
            <w:gridSpan w:val="4"/>
          </w:tcPr>
          <w:p w14:paraId="388F9362" w14:textId="77777777" w:rsidR="00370B9F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090E7ED0" w14:textId="0B7592DB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Руководитель</w:t>
            </w:r>
            <w:proofErr w:type="spellEnd"/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организации</w:t>
            </w:r>
            <w:proofErr w:type="spellEnd"/>
          </w:p>
          <w:p w14:paraId="0C23A557" w14:textId="77777777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(уполномоченный представитель)</w:t>
            </w:r>
          </w:p>
        </w:tc>
        <w:tc>
          <w:tcPr>
            <w:tcW w:w="4633" w:type="dxa"/>
          </w:tcPr>
          <w:p w14:paraId="1D89B9B6" w14:textId="77777777" w:rsidR="00370B9F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4E8AC1C9" w14:textId="7715E1F0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м.п</w:t>
            </w:r>
            <w:proofErr w:type="spellEnd"/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3C392B4A" w14:textId="77777777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912" w:type="dxa"/>
            <w:gridSpan w:val="4"/>
          </w:tcPr>
          <w:p w14:paraId="783E859A" w14:textId="77777777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  <w:p w14:paraId="11986F57" w14:textId="77777777" w:rsidR="00370B9F" w:rsidRPr="008A021E" w:rsidRDefault="00370B9F" w:rsidP="00370B9F">
            <w:pPr>
              <w:spacing w:line="360" w:lineRule="auto"/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A021E">
              <w:rPr>
                <w:rFonts w:ascii="Montserrat" w:eastAsia="Tahoma" w:hAnsi="Montserrat" w:cs="Times New Roman"/>
                <w:sz w:val="20"/>
                <w:szCs w:val="20"/>
              </w:rPr>
              <w:t>(Фамилия И.О.)</w:t>
            </w:r>
          </w:p>
        </w:tc>
      </w:tr>
    </w:tbl>
    <w:p w14:paraId="63ACC298" w14:textId="3E2C1F15" w:rsidR="004E7772" w:rsidRDefault="004E7772"/>
    <w:sectPr w:rsidR="004E7772" w:rsidSect="002D346A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318E" w14:textId="77777777" w:rsidR="00BC0AF0" w:rsidRDefault="00BC0AF0" w:rsidP="0088159C">
      <w:pPr>
        <w:spacing w:after="0" w:line="240" w:lineRule="auto"/>
      </w:pPr>
      <w:r>
        <w:separator/>
      </w:r>
    </w:p>
  </w:endnote>
  <w:endnote w:type="continuationSeparator" w:id="0">
    <w:p w14:paraId="3C493CD3" w14:textId="77777777" w:rsidR="00BC0AF0" w:rsidRDefault="00BC0AF0" w:rsidP="0088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Õ /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17104699"/>
      <w:docPartObj>
        <w:docPartGallery w:val="Page Numbers (Bottom of Page)"/>
        <w:docPartUnique/>
      </w:docPartObj>
    </w:sdtPr>
    <w:sdtContent>
      <w:p w14:paraId="06EE9B26" w14:textId="691270C5" w:rsidR="0088159C" w:rsidRDefault="0088159C" w:rsidP="00F569AE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CE1A11C" w14:textId="77777777" w:rsidR="0088159C" w:rsidRDefault="0088159C" w:rsidP="0088159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538847421"/>
      <w:docPartObj>
        <w:docPartGallery w:val="Page Numbers (Bottom of Page)"/>
        <w:docPartUnique/>
      </w:docPartObj>
    </w:sdtPr>
    <w:sdtEndPr>
      <w:rPr>
        <w:rStyle w:val="ae"/>
        <w:rFonts w:ascii="Montserrat" w:hAnsi="Montserrat"/>
        <w:sz w:val="20"/>
        <w:szCs w:val="20"/>
      </w:rPr>
    </w:sdtEndPr>
    <w:sdtContent>
      <w:p w14:paraId="791ACF0A" w14:textId="4426F30D" w:rsidR="0088159C" w:rsidRPr="005774C7" w:rsidRDefault="0088159C" w:rsidP="00F569AE">
        <w:pPr>
          <w:pStyle w:val="ac"/>
          <w:framePr w:wrap="none" w:vAnchor="text" w:hAnchor="margin" w:xAlign="right" w:y="1"/>
          <w:rPr>
            <w:rStyle w:val="ae"/>
            <w:rFonts w:ascii="Montserrat" w:hAnsi="Montserrat"/>
            <w:sz w:val="20"/>
            <w:szCs w:val="20"/>
          </w:rPr>
        </w:pPr>
        <w:r w:rsidRPr="005774C7">
          <w:rPr>
            <w:rStyle w:val="ae"/>
            <w:rFonts w:ascii="Montserrat" w:hAnsi="Montserrat"/>
            <w:sz w:val="20"/>
            <w:szCs w:val="20"/>
          </w:rPr>
          <w:fldChar w:fldCharType="begin"/>
        </w:r>
        <w:r w:rsidRPr="005774C7">
          <w:rPr>
            <w:rStyle w:val="ae"/>
            <w:rFonts w:ascii="Montserrat" w:hAnsi="Montserrat"/>
            <w:sz w:val="20"/>
            <w:szCs w:val="20"/>
          </w:rPr>
          <w:instrText xml:space="preserve"> PAGE </w:instrText>
        </w:r>
        <w:r w:rsidRPr="005774C7">
          <w:rPr>
            <w:rStyle w:val="ae"/>
            <w:rFonts w:ascii="Montserrat" w:hAnsi="Montserrat"/>
            <w:sz w:val="20"/>
            <w:szCs w:val="20"/>
          </w:rPr>
          <w:fldChar w:fldCharType="separate"/>
        </w:r>
        <w:r w:rsidRPr="005774C7">
          <w:rPr>
            <w:rStyle w:val="ae"/>
            <w:rFonts w:ascii="Montserrat" w:hAnsi="Montserrat"/>
            <w:noProof/>
            <w:sz w:val="20"/>
            <w:szCs w:val="20"/>
          </w:rPr>
          <w:t>1</w:t>
        </w:r>
        <w:r w:rsidRPr="005774C7">
          <w:rPr>
            <w:rStyle w:val="ae"/>
            <w:rFonts w:ascii="Montserrat" w:hAnsi="Montserrat"/>
            <w:sz w:val="20"/>
            <w:szCs w:val="20"/>
          </w:rPr>
          <w:fldChar w:fldCharType="end"/>
        </w:r>
      </w:p>
    </w:sdtContent>
  </w:sdt>
  <w:p w14:paraId="149D7EEC" w14:textId="77777777" w:rsidR="0088159C" w:rsidRDefault="0088159C" w:rsidP="0088159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D50F" w14:textId="77777777" w:rsidR="00BC0AF0" w:rsidRDefault="00BC0AF0" w:rsidP="0088159C">
      <w:pPr>
        <w:spacing w:after="0" w:line="240" w:lineRule="auto"/>
      </w:pPr>
      <w:r>
        <w:separator/>
      </w:r>
    </w:p>
  </w:footnote>
  <w:footnote w:type="continuationSeparator" w:id="0">
    <w:p w14:paraId="67AB1022" w14:textId="77777777" w:rsidR="00BC0AF0" w:rsidRDefault="00BC0AF0" w:rsidP="0088159C">
      <w:pPr>
        <w:spacing w:after="0" w:line="240" w:lineRule="auto"/>
      </w:pPr>
      <w:r>
        <w:continuationSeparator/>
      </w:r>
    </w:p>
  </w:footnote>
  <w:footnote w:id="1">
    <w:p w14:paraId="309F7DE8" w14:textId="3C50AD48" w:rsidR="007A58E1" w:rsidRDefault="007A58E1">
      <w:pPr>
        <w:pStyle w:val="af"/>
      </w:pPr>
      <w:r>
        <w:rPr>
          <w:rStyle w:val="af1"/>
        </w:rPr>
        <w:footnoteRef/>
      </w:r>
      <w:r>
        <w:t xml:space="preserve"> </w:t>
      </w:r>
      <w:r w:rsidRPr="007A58E1">
        <w:rPr>
          <w:rFonts w:ascii="Montserrat" w:hAnsi="Montserrat"/>
          <w:sz w:val="16"/>
          <w:szCs w:val="16"/>
        </w:rPr>
        <w:t>Разбивка сумм в смете заполняется по годам</w:t>
      </w:r>
    </w:p>
  </w:footnote>
  <w:footnote w:id="2">
    <w:p w14:paraId="73EE26B5" w14:textId="1D953FC7" w:rsidR="007569C2" w:rsidRPr="00157A52" w:rsidRDefault="007569C2" w:rsidP="007569C2">
      <w:pPr>
        <w:pStyle w:val="af"/>
        <w:rPr>
          <w:rFonts w:ascii="Montserrat" w:hAnsi="Montserrat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157A52">
        <w:rPr>
          <w:rFonts w:ascii="Montserrat" w:hAnsi="Montserrat"/>
          <w:sz w:val="16"/>
          <w:szCs w:val="16"/>
        </w:rPr>
        <w:t xml:space="preserve">Сумма внебюджетных средств заполняется только </w:t>
      </w:r>
      <w:r>
        <w:rPr>
          <w:rFonts w:ascii="Montserrat" w:hAnsi="Montserrat"/>
          <w:sz w:val="16"/>
          <w:szCs w:val="16"/>
        </w:rPr>
        <w:t>в строке «</w:t>
      </w:r>
      <w:r w:rsidRPr="00157A52">
        <w:rPr>
          <w:rFonts w:ascii="Montserrat" w:hAnsi="Montserrat"/>
          <w:sz w:val="16"/>
          <w:szCs w:val="16"/>
        </w:rPr>
        <w:t>ИТОГО</w:t>
      </w:r>
      <w:r>
        <w:rPr>
          <w:rFonts w:ascii="Montserrat" w:hAnsi="Montserrat"/>
          <w:sz w:val="16"/>
          <w:szCs w:val="16"/>
        </w:rPr>
        <w:t>»</w:t>
      </w:r>
      <w:r w:rsidRPr="00157A52">
        <w:rPr>
          <w:rFonts w:ascii="Montserrat" w:hAnsi="Montserrat"/>
          <w:sz w:val="16"/>
          <w:szCs w:val="16"/>
        </w:rPr>
        <w:t xml:space="preserve">, без разбивки по </w:t>
      </w:r>
      <w:r w:rsidR="00F74A71">
        <w:rPr>
          <w:rFonts w:ascii="Montserrat" w:hAnsi="Montserrat"/>
          <w:sz w:val="16"/>
          <w:szCs w:val="16"/>
        </w:rPr>
        <w:t>годам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E"/>
    <w:rsid w:val="001B430D"/>
    <w:rsid w:val="001F0D04"/>
    <w:rsid w:val="002317A6"/>
    <w:rsid w:val="002D346A"/>
    <w:rsid w:val="00370B9F"/>
    <w:rsid w:val="003E0D1F"/>
    <w:rsid w:val="004856B9"/>
    <w:rsid w:val="004C6F24"/>
    <w:rsid w:val="004E7772"/>
    <w:rsid w:val="005774C7"/>
    <w:rsid w:val="00620AE1"/>
    <w:rsid w:val="007569C2"/>
    <w:rsid w:val="007A58E1"/>
    <w:rsid w:val="007D07FB"/>
    <w:rsid w:val="007E53F5"/>
    <w:rsid w:val="0088159C"/>
    <w:rsid w:val="0091349D"/>
    <w:rsid w:val="00A1309A"/>
    <w:rsid w:val="00A75EFE"/>
    <w:rsid w:val="00AB3376"/>
    <w:rsid w:val="00B1509E"/>
    <w:rsid w:val="00BC0AF0"/>
    <w:rsid w:val="00CA3448"/>
    <w:rsid w:val="00DE08FE"/>
    <w:rsid w:val="00DE226A"/>
    <w:rsid w:val="00E60C58"/>
    <w:rsid w:val="00EC03FC"/>
    <w:rsid w:val="00F21EB6"/>
    <w:rsid w:val="00F45403"/>
    <w:rsid w:val="00F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6443"/>
  <w15:chartTrackingRefBased/>
  <w15:docId w15:val="{224491E2-DABB-4C16-B44E-B10E1068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6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09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09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1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09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D3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88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159C"/>
    <w:rPr>
      <w:kern w:val="0"/>
      <w14:ligatures w14:val="none"/>
    </w:rPr>
  </w:style>
  <w:style w:type="character" w:styleId="ae">
    <w:name w:val="page number"/>
    <w:basedOn w:val="a0"/>
    <w:uiPriority w:val="99"/>
    <w:semiHidden/>
    <w:unhideWhenUsed/>
    <w:rsid w:val="0088159C"/>
  </w:style>
  <w:style w:type="paragraph" w:styleId="af">
    <w:name w:val="footnote text"/>
    <w:basedOn w:val="a"/>
    <w:link w:val="af0"/>
    <w:uiPriority w:val="99"/>
    <w:unhideWhenUsed/>
    <w:rsid w:val="007569C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569C2"/>
    <w:rPr>
      <w:kern w:val="0"/>
      <w:sz w:val="20"/>
      <w:szCs w:val="20"/>
      <w14:ligatures w14:val="none"/>
    </w:rPr>
  </w:style>
  <w:style w:type="character" w:styleId="af1">
    <w:name w:val="footnote reference"/>
    <w:aliases w:val="Знак сноски-FN,Ciae niinee-FN,Знак сноски 1,fr,Used by Word for Help footnote symbols,Ссылка на сноску 45,Footnote Reference Number"/>
    <w:basedOn w:val="a0"/>
    <w:uiPriority w:val="99"/>
    <w:unhideWhenUsed/>
    <w:rsid w:val="007569C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57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774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53655-7FE4-C041-AB70-26D5803F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Елена Бирюлина</cp:lastModifiedBy>
  <cp:revision>15</cp:revision>
  <dcterms:created xsi:type="dcterms:W3CDTF">2025-03-12T09:24:00Z</dcterms:created>
  <dcterms:modified xsi:type="dcterms:W3CDTF">2025-06-16T09:08:00Z</dcterms:modified>
</cp:coreProperties>
</file>